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4D8D" w14:textId="2D46C33A" w:rsidR="00D77908" w:rsidRPr="00E36273" w:rsidRDefault="00D77908" w:rsidP="00D77908">
      <w:pPr>
        <w:rPr>
          <w:rFonts w:ascii="Arial" w:eastAsia="Arial" w:hAnsi="Arial" w:cs="Arial"/>
          <w:b/>
          <w:bCs/>
          <w:color w:val="00ABCC"/>
          <w:spacing w:val="3"/>
          <w:sz w:val="32"/>
          <w:szCs w:val="32"/>
          <w:lang w:eastAsia="en-GB"/>
        </w:rPr>
      </w:pPr>
      <w:r w:rsidRPr="00E36273">
        <w:rPr>
          <w:noProof/>
        </w:rPr>
        <w:drawing>
          <wp:inline distT="0" distB="0" distL="0" distR="0" wp14:anchorId="75593250" wp14:editId="79EC23BD">
            <wp:extent cx="1619250" cy="16192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43962901" descr="A picture containing text&#10;&#10;Description automatically generated"/>
                    <pic:cNvPicPr>
                      <a:picLocks noChangeAspect="1" noChangeArrowheads="1"/>
                    </pic:cNvPicPr>
                  </pic:nvPicPr>
                  <pic:blipFill>
                    <a:blip r:embed="rId7"/>
                    <a:stretch>
                      <a:fillRect/>
                    </a:stretch>
                  </pic:blipFill>
                  <pic:spPr bwMode="auto">
                    <a:xfrm>
                      <a:off x="0" y="0"/>
                      <a:ext cx="1619250" cy="1619250"/>
                    </a:xfrm>
                    <a:prstGeom prst="rect">
                      <a:avLst/>
                    </a:prstGeom>
                  </pic:spPr>
                </pic:pic>
              </a:graphicData>
            </a:graphic>
          </wp:inline>
        </w:drawing>
      </w:r>
    </w:p>
    <w:p w14:paraId="256D0107" w14:textId="38ADE420" w:rsidR="00D77908" w:rsidRDefault="00D77908" w:rsidP="00D77908">
      <w:pPr>
        <w:rPr>
          <w:rFonts w:ascii="Arial" w:eastAsia="Arial" w:hAnsi="Arial" w:cs="Arial"/>
          <w:b/>
          <w:bCs/>
          <w:color w:val="00ABCC"/>
          <w:spacing w:val="3"/>
          <w:sz w:val="32"/>
          <w:szCs w:val="32"/>
          <w:lang w:eastAsia="en-GB"/>
        </w:rPr>
      </w:pPr>
      <w:r w:rsidRPr="00E36273">
        <w:rPr>
          <w:rFonts w:ascii="Arial" w:eastAsia="Arial" w:hAnsi="Arial" w:cs="Arial"/>
          <w:b/>
          <w:bCs/>
          <w:color w:val="00ABCC"/>
          <w:spacing w:val="3"/>
          <w:sz w:val="32"/>
          <w:szCs w:val="32"/>
          <w:lang w:eastAsia="en-GB"/>
        </w:rPr>
        <w:t>EVC</w:t>
      </w:r>
      <w:r>
        <w:rPr>
          <w:rFonts w:ascii="Arial" w:eastAsia="Arial" w:hAnsi="Arial" w:cs="Arial"/>
          <w:b/>
          <w:bCs/>
          <w:color w:val="00ABCC"/>
          <w:spacing w:val="3"/>
          <w:sz w:val="32"/>
          <w:szCs w:val="32"/>
          <w:lang w:eastAsia="en-GB"/>
        </w:rPr>
        <w:t xml:space="preserve"> response to the Review of the AER exemptions framework for embedded networks.</w:t>
      </w:r>
    </w:p>
    <w:p w14:paraId="61CD251C" w14:textId="77777777" w:rsidR="00D77908" w:rsidRDefault="00D77908" w:rsidP="00D77908">
      <w:pPr>
        <w:rPr>
          <w:rFonts w:ascii="Arial" w:eastAsia="Arial" w:hAnsi="Arial" w:cs="Arial"/>
          <w:b/>
          <w:bCs/>
        </w:rPr>
      </w:pPr>
    </w:p>
    <w:p w14:paraId="16158C86" w14:textId="77777777" w:rsidR="00D77908" w:rsidRPr="00CC3382" w:rsidRDefault="00D77908" w:rsidP="00D77908">
      <w:pPr>
        <w:rPr>
          <w:rFonts w:ascii="Arial" w:eastAsia="Arial" w:hAnsi="Arial" w:cs="Arial"/>
          <w:b/>
          <w:bCs/>
        </w:rPr>
      </w:pPr>
      <w:r w:rsidRPr="00E36273">
        <w:rPr>
          <w:rFonts w:ascii="Arial" w:eastAsia="Arial" w:hAnsi="Arial" w:cs="Arial"/>
          <w:b/>
          <w:bCs/>
        </w:rPr>
        <w:br/>
      </w:r>
      <w:r>
        <w:rPr>
          <w:rFonts w:ascii="Arial" w:eastAsia="Arial" w:hAnsi="Arial" w:cs="Arial"/>
          <w:b/>
          <w:bCs/>
        </w:rPr>
        <w:t>November</w:t>
      </w:r>
      <w:r w:rsidRPr="00E36273">
        <w:rPr>
          <w:rFonts w:ascii="Arial" w:eastAsia="Arial" w:hAnsi="Arial" w:cs="Arial"/>
          <w:b/>
          <w:bCs/>
        </w:rPr>
        <w:t xml:space="preserve"> 2023</w:t>
      </w:r>
    </w:p>
    <w:p w14:paraId="53BCB2FE" w14:textId="77777777" w:rsidR="00D77908" w:rsidRDefault="00D77908" w:rsidP="00D77908">
      <w:pPr>
        <w:rPr>
          <w:rFonts w:ascii="Arial" w:hAnsi="Arial" w:cs="Arial"/>
          <w:b/>
          <w:bCs/>
          <w:color w:val="2F5496" w:themeColor="accent1" w:themeShade="BF"/>
          <w:sz w:val="24"/>
          <w:szCs w:val="24"/>
        </w:rPr>
      </w:pPr>
    </w:p>
    <w:p w14:paraId="092B8A9A" w14:textId="77777777" w:rsidR="00D77908" w:rsidRPr="00E36273" w:rsidRDefault="00D77908" w:rsidP="00D77908">
      <w:pPr>
        <w:rPr>
          <w:rFonts w:ascii="Arial" w:hAnsi="Arial" w:cs="Arial"/>
          <w:b/>
          <w:bCs/>
          <w:color w:val="2F5496" w:themeColor="accent1" w:themeShade="BF"/>
          <w:sz w:val="24"/>
          <w:szCs w:val="24"/>
        </w:rPr>
      </w:pPr>
      <w:r w:rsidRPr="00E36273">
        <w:rPr>
          <w:rFonts w:ascii="Arial" w:hAnsi="Arial" w:cs="Arial"/>
          <w:b/>
          <w:bCs/>
          <w:color w:val="2F5496" w:themeColor="accent1" w:themeShade="BF"/>
          <w:sz w:val="24"/>
          <w:szCs w:val="24"/>
        </w:rPr>
        <w:t>With reference to:</w:t>
      </w:r>
    </w:p>
    <w:bookmarkStart w:id="0" w:name="_Hlk149552890"/>
    <w:p w14:paraId="6670DEA1" w14:textId="77777777" w:rsidR="00D77908" w:rsidRDefault="00D77908" w:rsidP="00D77908">
      <w:pPr>
        <w:rPr>
          <w:rFonts w:ascii="Arial" w:hAnsi="Arial" w:cs="Arial"/>
          <w:b/>
          <w:bCs/>
          <w:color w:val="2F5496" w:themeColor="accent1" w:themeShade="BF"/>
          <w:sz w:val="24"/>
          <w:szCs w:val="24"/>
        </w:rPr>
      </w:pPr>
      <w:r>
        <w:fldChar w:fldCharType="begin"/>
      </w:r>
      <w:r>
        <w:instrText>HYPERLINK "https://www.aer.gov.au/industry/registers/resources/reviews/review-aer-exemptions-framework-embedded-networks"</w:instrText>
      </w:r>
      <w:r>
        <w:fldChar w:fldCharType="separate"/>
      </w:r>
      <w:r>
        <w:rPr>
          <w:rStyle w:val="Hyperlink"/>
        </w:rPr>
        <w:t>Review of the AER exemptions framework for embedded networks | Australian Energy Regulator (AER)</w:t>
      </w:r>
      <w:r>
        <w:fldChar w:fldCharType="end"/>
      </w:r>
      <w:bookmarkEnd w:id="0"/>
    </w:p>
    <w:p w14:paraId="1319B888" w14:textId="77777777" w:rsidR="00D77908" w:rsidRPr="00E36273" w:rsidRDefault="00D77908" w:rsidP="00D77908">
      <w:pPr>
        <w:rPr>
          <w:rFonts w:ascii="Arial" w:hAnsi="Arial" w:cs="Arial"/>
          <w:b/>
          <w:bCs/>
          <w:color w:val="2F5496" w:themeColor="accent1" w:themeShade="BF"/>
          <w:sz w:val="24"/>
          <w:szCs w:val="24"/>
        </w:rPr>
      </w:pPr>
      <w:r w:rsidRPr="00E36273">
        <w:rPr>
          <w:rFonts w:ascii="Arial" w:hAnsi="Arial" w:cs="Arial"/>
          <w:b/>
          <w:bCs/>
          <w:color w:val="2F5496" w:themeColor="accent1" w:themeShade="BF"/>
          <w:sz w:val="24"/>
          <w:szCs w:val="24"/>
        </w:rPr>
        <w:t>Prepared by:</w:t>
      </w:r>
    </w:p>
    <w:p w14:paraId="5CC8FE6A" w14:textId="09452BD0" w:rsidR="00D77908" w:rsidRDefault="00D77908" w:rsidP="00D77908">
      <w:pPr>
        <w:rPr>
          <w:rFonts w:ascii="Arial" w:hAnsi="Arial" w:cs="Arial"/>
        </w:rPr>
      </w:pPr>
      <w:r>
        <w:rPr>
          <w:rFonts w:ascii="Arial" w:hAnsi="Arial" w:cs="Arial"/>
        </w:rPr>
        <w:t>Umair</w:t>
      </w:r>
      <w:r w:rsidR="000E05B8">
        <w:rPr>
          <w:rFonts w:ascii="Arial" w:hAnsi="Arial" w:cs="Arial"/>
        </w:rPr>
        <w:t xml:space="preserve"> Afzal</w:t>
      </w:r>
      <w:r>
        <w:rPr>
          <w:rFonts w:ascii="Arial" w:hAnsi="Arial" w:cs="Arial"/>
        </w:rPr>
        <w:t xml:space="preserve"> &amp; Michael</w:t>
      </w:r>
      <w:r w:rsidR="000E05B8">
        <w:rPr>
          <w:rFonts w:ascii="Arial" w:hAnsi="Arial" w:cs="Arial"/>
        </w:rPr>
        <w:t xml:space="preserve"> Shaughnessy</w:t>
      </w:r>
      <w:r>
        <w:rPr>
          <w:rFonts w:ascii="Arial" w:hAnsi="Arial" w:cs="Arial"/>
        </w:rPr>
        <w:t>, Electric Vehicle Council</w:t>
      </w:r>
    </w:p>
    <w:p w14:paraId="25D50D83" w14:textId="77777777" w:rsidR="00D77908" w:rsidRDefault="00D77908" w:rsidP="00D77908">
      <w:pPr>
        <w:rPr>
          <w:rFonts w:ascii="Arial" w:hAnsi="Arial" w:cs="Arial"/>
        </w:rPr>
      </w:pPr>
    </w:p>
    <w:p w14:paraId="79742EBB" w14:textId="7C7B4ADE" w:rsidR="00D77908" w:rsidRPr="00943317" w:rsidRDefault="00D77908" w:rsidP="00D77908">
      <w:pPr>
        <w:rPr>
          <w:rFonts w:ascii="Arial" w:hAnsi="Arial" w:cs="Arial"/>
        </w:rPr>
      </w:pPr>
      <w:r>
        <w:rPr>
          <w:rFonts w:ascii="Arial" w:hAnsi="Arial" w:cs="Arial"/>
          <w:b/>
          <w:bCs/>
          <w:color w:val="2F5496" w:themeColor="accent1" w:themeShade="BF"/>
          <w:sz w:val="24"/>
          <w:szCs w:val="24"/>
        </w:rPr>
        <w:t>With contribution from:</w:t>
      </w:r>
      <w:r w:rsidR="00943317">
        <w:rPr>
          <w:rFonts w:ascii="Arial" w:hAnsi="Arial" w:cs="Arial"/>
          <w:b/>
          <w:bCs/>
          <w:color w:val="2F5496" w:themeColor="accent1" w:themeShade="BF"/>
          <w:sz w:val="24"/>
          <w:szCs w:val="24"/>
        </w:rPr>
        <w:br/>
      </w:r>
      <w:r w:rsidR="00943317" w:rsidRPr="00943317">
        <w:rPr>
          <w:rFonts w:ascii="Arial" w:hAnsi="Arial" w:cs="Arial"/>
        </w:rPr>
        <w:t>Ross de Rango</w:t>
      </w:r>
    </w:p>
    <w:p w14:paraId="7931BB75" w14:textId="77777777" w:rsidR="00D77908" w:rsidRPr="00CC3382" w:rsidRDefault="00D77908" w:rsidP="00D77908">
      <w:pPr>
        <w:rPr>
          <w:rFonts w:ascii="Arial" w:hAnsi="Arial" w:cs="Arial"/>
        </w:rPr>
      </w:pPr>
    </w:p>
    <w:p w14:paraId="03F17DB4" w14:textId="11D311C9" w:rsidR="00D77908" w:rsidRDefault="00706FC0" w:rsidP="00D77908">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Dear </w:t>
      </w:r>
    </w:p>
    <w:p w14:paraId="46894DD1" w14:textId="77777777" w:rsidR="00F025D5" w:rsidRPr="00F025D5" w:rsidRDefault="00F22A35" w:rsidP="00D77908">
      <w:pPr>
        <w:rPr>
          <w:rFonts w:ascii="Arial" w:hAnsi="Arial" w:cs="Arial"/>
        </w:rPr>
      </w:pPr>
      <w:r w:rsidRPr="00F025D5">
        <w:rPr>
          <w:rFonts w:ascii="Arial" w:hAnsi="Arial" w:cs="Arial"/>
        </w:rPr>
        <w:t xml:space="preserve">Mark Feather, </w:t>
      </w:r>
    </w:p>
    <w:p w14:paraId="393E9BE5" w14:textId="77777777" w:rsidR="00F025D5" w:rsidRPr="00F025D5" w:rsidRDefault="00F22A35" w:rsidP="00D77908">
      <w:pPr>
        <w:rPr>
          <w:rFonts w:ascii="Arial" w:hAnsi="Arial" w:cs="Arial"/>
        </w:rPr>
      </w:pPr>
      <w:r w:rsidRPr="00F025D5">
        <w:rPr>
          <w:rFonts w:ascii="Arial" w:hAnsi="Arial" w:cs="Arial"/>
        </w:rPr>
        <w:t xml:space="preserve">General Manager, Policy </w:t>
      </w:r>
    </w:p>
    <w:p w14:paraId="4BCA4F56" w14:textId="77777777" w:rsidR="00F025D5" w:rsidRPr="00F025D5" w:rsidRDefault="00F22A35" w:rsidP="00D77908">
      <w:pPr>
        <w:rPr>
          <w:rFonts w:ascii="Arial" w:hAnsi="Arial" w:cs="Arial"/>
        </w:rPr>
      </w:pPr>
      <w:r w:rsidRPr="00F025D5">
        <w:rPr>
          <w:rFonts w:ascii="Arial" w:hAnsi="Arial" w:cs="Arial"/>
        </w:rPr>
        <w:t xml:space="preserve">Australian Energy Regulator </w:t>
      </w:r>
    </w:p>
    <w:p w14:paraId="147A691D" w14:textId="77777777" w:rsidR="00F025D5" w:rsidRPr="00F025D5" w:rsidRDefault="00F22A35" w:rsidP="00D77908">
      <w:pPr>
        <w:rPr>
          <w:rFonts w:ascii="Arial" w:hAnsi="Arial" w:cs="Arial"/>
        </w:rPr>
      </w:pPr>
      <w:r w:rsidRPr="00F025D5">
        <w:rPr>
          <w:rFonts w:ascii="Arial" w:hAnsi="Arial" w:cs="Arial"/>
        </w:rPr>
        <w:t xml:space="preserve">GPO Box 3130 </w:t>
      </w:r>
    </w:p>
    <w:p w14:paraId="62702227" w14:textId="2B526F09" w:rsidR="00D77908" w:rsidRPr="00F025D5" w:rsidRDefault="00F22A35" w:rsidP="00D77908">
      <w:pPr>
        <w:rPr>
          <w:rFonts w:ascii="Arial" w:hAnsi="Arial" w:cs="Arial"/>
          <w:b/>
          <w:bCs/>
          <w:color w:val="2F5496" w:themeColor="accent1" w:themeShade="BF"/>
          <w:sz w:val="24"/>
          <w:szCs w:val="24"/>
        </w:rPr>
      </w:pPr>
      <w:r w:rsidRPr="00F025D5">
        <w:rPr>
          <w:rFonts w:ascii="Arial" w:hAnsi="Arial" w:cs="Arial"/>
        </w:rPr>
        <w:t>Canberra ACT 2601</w:t>
      </w:r>
    </w:p>
    <w:p w14:paraId="02DB221D" w14:textId="77777777" w:rsidR="00D77908" w:rsidRPr="00F025D5" w:rsidRDefault="00D77908" w:rsidP="00D77908">
      <w:pPr>
        <w:rPr>
          <w:rFonts w:ascii="Arial" w:hAnsi="Arial" w:cs="Arial"/>
          <w:b/>
          <w:bCs/>
          <w:color w:val="2F5496" w:themeColor="accent1" w:themeShade="BF"/>
          <w:sz w:val="24"/>
          <w:szCs w:val="24"/>
        </w:rPr>
      </w:pPr>
      <w:r w:rsidRPr="00F025D5">
        <w:rPr>
          <w:rFonts w:ascii="Arial" w:hAnsi="Arial" w:cs="Arial"/>
          <w:b/>
          <w:bCs/>
          <w:color w:val="2F5496" w:themeColor="accent1" w:themeShade="BF"/>
          <w:sz w:val="24"/>
          <w:szCs w:val="24"/>
        </w:rPr>
        <w:br w:type="page"/>
      </w:r>
    </w:p>
    <w:p w14:paraId="2BB87440" w14:textId="77777777" w:rsidR="00D77908" w:rsidRPr="00D44315" w:rsidRDefault="1EEE4D7E" w:rsidP="00D77908">
      <w:pPr>
        <w:jc w:val="both"/>
        <w:rPr>
          <w:rFonts w:ascii="Arial" w:hAnsi="Arial" w:cs="Arial"/>
          <w:b/>
          <w:bCs/>
          <w:color w:val="2F5496" w:themeColor="accent1" w:themeShade="BF"/>
          <w:sz w:val="24"/>
          <w:szCs w:val="24"/>
        </w:rPr>
      </w:pPr>
      <w:r w:rsidRPr="1EEE4D7E">
        <w:rPr>
          <w:rFonts w:ascii="Arial" w:hAnsi="Arial" w:cs="Arial"/>
          <w:b/>
          <w:bCs/>
          <w:color w:val="2F5496" w:themeColor="accent1" w:themeShade="BF"/>
          <w:sz w:val="24"/>
          <w:szCs w:val="24"/>
        </w:rPr>
        <w:lastRenderedPageBreak/>
        <w:t>Introduction</w:t>
      </w:r>
    </w:p>
    <w:p w14:paraId="5E507A31" w14:textId="77777777" w:rsidR="00D77908" w:rsidRDefault="00D77908" w:rsidP="00D77908">
      <w:pPr>
        <w:pStyle w:val="Default"/>
      </w:pPr>
    </w:p>
    <w:p w14:paraId="506C8A75" w14:textId="77777777" w:rsidR="00D77908" w:rsidRPr="00390EBB" w:rsidRDefault="00D77908" w:rsidP="00D77908">
      <w:pPr>
        <w:pStyle w:val="Default"/>
        <w:rPr>
          <w:sz w:val="22"/>
          <w:szCs w:val="22"/>
        </w:rPr>
      </w:pPr>
      <w:r w:rsidRPr="00390EBB">
        <w:rPr>
          <w:sz w:val="22"/>
          <w:szCs w:val="22"/>
        </w:rPr>
        <w:t xml:space="preserve">The Electric Vehicle Council (EVC) is the national body representing the electric vehicle industry in Australia. As the market is emerging in Australia, our work is particularly aimed at increasing certainty for investment through policy, knowledge sharing and education. </w:t>
      </w:r>
    </w:p>
    <w:p w14:paraId="6F08907B" w14:textId="77777777" w:rsidR="00D77908" w:rsidRDefault="00D77908" w:rsidP="00D77908">
      <w:pPr>
        <w:pStyle w:val="Default"/>
        <w:rPr>
          <w:sz w:val="22"/>
          <w:szCs w:val="22"/>
        </w:rPr>
      </w:pPr>
    </w:p>
    <w:p w14:paraId="369BA0B1" w14:textId="77777777" w:rsidR="00D77908" w:rsidRPr="00390EBB" w:rsidRDefault="00D77908" w:rsidP="00D77908">
      <w:pPr>
        <w:pStyle w:val="Default"/>
        <w:rPr>
          <w:sz w:val="22"/>
          <w:szCs w:val="22"/>
        </w:rPr>
      </w:pPr>
      <w:r w:rsidRPr="00390EBB">
        <w:rPr>
          <w:sz w:val="22"/>
          <w:szCs w:val="22"/>
        </w:rPr>
        <w:t xml:space="preserve">We represent manufacturers of electric vehicles, energy system actors including generation, transmission, distribution and retail, EV charging and electrical equipment manufacturers, public charging station operators, and many other organisations with a stake in the future involving the electrification of road transport. </w:t>
      </w:r>
    </w:p>
    <w:p w14:paraId="0B707042" w14:textId="77777777" w:rsidR="00D77908" w:rsidRDefault="00D77908" w:rsidP="00D77908">
      <w:pPr>
        <w:pStyle w:val="Default"/>
        <w:rPr>
          <w:rFonts w:eastAsia="Arial"/>
          <w:sz w:val="22"/>
          <w:szCs w:val="22"/>
        </w:rPr>
      </w:pPr>
    </w:p>
    <w:p w14:paraId="738F522A" w14:textId="667DBC38" w:rsidR="00D77908" w:rsidRPr="009A0A9A" w:rsidRDefault="00D77908" w:rsidP="00D77908">
      <w:pPr>
        <w:pStyle w:val="Default"/>
        <w:rPr>
          <w:rFonts w:eastAsia="Arial"/>
          <w:sz w:val="22"/>
          <w:szCs w:val="22"/>
        </w:rPr>
      </w:pPr>
      <w:r w:rsidRPr="40AD1727">
        <w:rPr>
          <w:rFonts w:eastAsia="Arial"/>
          <w:sz w:val="22"/>
          <w:szCs w:val="22"/>
        </w:rPr>
        <w:t>The Australian Energy Regulator (AER) is the national regulator for electricity and gas supply in Australia.</w:t>
      </w:r>
      <w:r w:rsidR="005721EF">
        <w:rPr>
          <w:rFonts w:eastAsia="Arial"/>
          <w:sz w:val="22"/>
          <w:szCs w:val="22"/>
        </w:rPr>
        <w:t xml:space="preserve"> </w:t>
      </w:r>
      <w:r w:rsidRPr="40AD1727">
        <w:rPr>
          <w:rFonts w:eastAsia="Arial"/>
          <w:sz w:val="22"/>
          <w:szCs w:val="22"/>
        </w:rPr>
        <w:t xml:space="preserve">The AER has responsibility for regulation of energy networks, protecting the interests of consumers through the enforcement of the National Energy Retail Law. </w:t>
      </w:r>
      <w:r>
        <w:br/>
      </w:r>
    </w:p>
    <w:p w14:paraId="5C500C51" w14:textId="66037D25" w:rsidR="00D77908" w:rsidRDefault="1EEE4D7E" w:rsidP="00D77908">
      <w:pPr>
        <w:jc w:val="both"/>
        <w:rPr>
          <w:rFonts w:ascii="Arial" w:eastAsia="Arial" w:hAnsi="Arial" w:cs="Arial"/>
          <w:lang w:val="en-US"/>
        </w:rPr>
      </w:pPr>
      <w:r w:rsidRPr="40AD1727">
        <w:rPr>
          <w:rFonts w:ascii="Arial" w:eastAsia="Arial" w:hAnsi="Arial" w:cs="Arial"/>
        </w:rPr>
        <w:t>This EVC submission is in response to the AER’s paper linked above</w:t>
      </w:r>
      <w:r w:rsidR="00E4346D">
        <w:rPr>
          <w:rFonts w:ascii="Arial" w:eastAsia="Arial" w:hAnsi="Arial" w:cs="Arial"/>
        </w:rPr>
        <w:t xml:space="preserve"> (i.e., on the first page)</w:t>
      </w:r>
      <w:r w:rsidRPr="40AD1727">
        <w:rPr>
          <w:rFonts w:ascii="Arial" w:eastAsia="Arial" w:hAnsi="Arial" w:cs="Arial"/>
        </w:rPr>
        <w:t xml:space="preserve">. </w:t>
      </w:r>
    </w:p>
    <w:p w14:paraId="0A83EEBE" w14:textId="1EF2ACC8" w:rsidR="00BC2E90" w:rsidRPr="00BC2E90" w:rsidRDefault="40AD1727" w:rsidP="00BC2E90">
      <w:pPr>
        <w:jc w:val="both"/>
        <w:rPr>
          <w:rFonts w:ascii="Arial" w:eastAsia="Arial" w:hAnsi="Arial" w:cs="Arial"/>
          <w:color w:val="0563C1" w:themeColor="hyperlink"/>
          <w:u w:val="single"/>
        </w:rPr>
      </w:pPr>
      <w:r w:rsidRPr="00BC2E90">
        <w:rPr>
          <w:rFonts w:ascii="Arial" w:eastAsia="Arial" w:hAnsi="Arial" w:cs="Arial"/>
        </w:rPr>
        <w:t xml:space="preserve">The EVC has made submissions relating to this area previously which can be viewed </w:t>
      </w:r>
      <w:r w:rsidR="00E4346D">
        <w:rPr>
          <w:rFonts w:ascii="Arial" w:eastAsia="Arial" w:hAnsi="Arial" w:cs="Arial"/>
        </w:rPr>
        <w:t xml:space="preserve">as follows: </w:t>
      </w:r>
    </w:p>
    <w:p w14:paraId="4DB7BFB3" w14:textId="4F65ABFD" w:rsidR="40AD1727" w:rsidRPr="00BC2E90" w:rsidRDefault="00000000" w:rsidP="00BC2E90">
      <w:pPr>
        <w:pStyle w:val="ListParagraph"/>
        <w:numPr>
          <w:ilvl w:val="0"/>
          <w:numId w:val="1"/>
        </w:numPr>
        <w:jc w:val="both"/>
        <w:rPr>
          <w:rStyle w:val="Hyperlink"/>
          <w:rFonts w:ascii="Arial" w:eastAsia="Arial" w:hAnsi="Arial" w:cs="Arial"/>
        </w:rPr>
      </w:pPr>
      <w:hyperlink r:id="rId8">
        <w:r w:rsidR="40AD1727" w:rsidRPr="00BC2E90">
          <w:rPr>
            <w:rStyle w:val="Hyperlink"/>
            <w:rFonts w:ascii="Arial" w:eastAsia="Arial" w:hAnsi="Arial" w:cs="Arial"/>
          </w:rPr>
          <w:t>EVC response to the AER on: Review of consumer protections for future energy services Options for reform of the National Energy Customer Framework - Electric Vehicle Council</w:t>
        </w:r>
      </w:hyperlink>
    </w:p>
    <w:p w14:paraId="4B4DEBBD" w14:textId="0A9181CA" w:rsidR="40AD1727" w:rsidRPr="00BC2E90" w:rsidRDefault="00000000" w:rsidP="00BC2E90">
      <w:pPr>
        <w:pStyle w:val="ListParagraph"/>
        <w:numPr>
          <w:ilvl w:val="0"/>
          <w:numId w:val="1"/>
        </w:numPr>
        <w:jc w:val="both"/>
        <w:rPr>
          <w:rFonts w:ascii="Arial" w:eastAsia="Arial" w:hAnsi="Arial" w:cs="Arial"/>
        </w:rPr>
      </w:pPr>
      <w:hyperlink r:id="rId9">
        <w:r w:rsidR="40AD1727" w:rsidRPr="00BC2E90">
          <w:rPr>
            <w:rStyle w:val="Hyperlink"/>
            <w:rFonts w:ascii="Arial" w:eastAsia="Arial" w:hAnsi="Arial" w:cs="Arial"/>
          </w:rPr>
          <w:t>EVC response to AER retailer</w:t>
        </w:r>
        <w:r w:rsidR="00BC2E90" w:rsidRPr="00BC2E90">
          <w:rPr>
            <w:rStyle w:val="Hyperlink"/>
            <w:rFonts w:ascii="Arial" w:eastAsia="Arial" w:hAnsi="Arial" w:cs="Arial"/>
          </w:rPr>
          <w:t xml:space="preserve"> </w:t>
        </w:r>
        <w:r w:rsidR="40AD1727" w:rsidRPr="00BC2E90">
          <w:rPr>
            <w:rStyle w:val="Hyperlink"/>
            <w:rFonts w:ascii="Arial" w:eastAsia="Arial" w:hAnsi="Arial" w:cs="Arial"/>
          </w:rPr>
          <w:t>authorisation and exemption review</w:t>
        </w:r>
        <w:r w:rsidR="00BC2E90" w:rsidRPr="00BC2E90">
          <w:rPr>
            <w:rStyle w:val="Hyperlink"/>
            <w:rFonts w:ascii="Arial" w:eastAsia="Arial" w:hAnsi="Arial" w:cs="Arial"/>
          </w:rPr>
          <w:t xml:space="preserve"> </w:t>
        </w:r>
        <w:r w:rsidR="40AD1727" w:rsidRPr="00BC2E90">
          <w:rPr>
            <w:rStyle w:val="Hyperlink"/>
            <w:rFonts w:ascii="Arial" w:eastAsia="Arial" w:hAnsi="Arial" w:cs="Arial"/>
          </w:rPr>
          <w:t>issues paper - Electric Vehicle Council</w:t>
        </w:r>
      </w:hyperlink>
    </w:p>
    <w:p w14:paraId="18E3199D" w14:textId="288D9AC8" w:rsidR="40AD1727" w:rsidRPr="00BC2E90" w:rsidRDefault="00000000" w:rsidP="00BC2E90">
      <w:pPr>
        <w:pStyle w:val="ListParagraph"/>
        <w:numPr>
          <w:ilvl w:val="0"/>
          <w:numId w:val="1"/>
        </w:numPr>
        <w:jc w:val="both"/>
        <w:rPr>
          <w:rFonts w:ascii="Arial" w:eastAsia="Arial" w:hAnsi="Arial" w:cs="Arial"/>
        </w:rPr>
      </w:pPr>
      <w:hyperlink r:id="rId10">
        <w:r w:rsidR="40AD1727" w:rsidRPr="00BC2E90">
          <w:rPr>
            <w:rStyle w:val="Hyperlink"/>
            <w:rFonts w:ascii="Arial" w:eastAsia="Arial" w:hAnsi="Arial" w:cs="Arial"/>
          </w:rPr>
          <w:t>EVC response to DELWP – Protecting consumers of DER - Electric Vehicle Council</w:t>
        </w:r>
      </w:hyperlink>
    </w:p>
    <w:p w14:paraId="69818C92" w14:textId="77777777" w:rsidR="00926217" w:rsidRDefault="00926217" w:rsidP="00D77908">
      <w:pPr>
        <w:jc w:val="both"/>
        <w:rPr>
          <w:rFonts w:ascii="Arial" w:hAnsi="Arial" w:cs="Arial"/>
          <w:b/>
          <w:bCs/>
          <w:color w:val="2F5496" w:themeColor="accent1" w:themeShade="BF"/>
          <w:sz w:val="24"/>
          <w:szCs w:val="24"/>
        </w:rPr>
      </w:pPr>
    </w:p>
    <w:p w14:paraId="05F57165" w14:textId="4A563D7C" w:rsidR="00D77908" w:rsidRDefault="00D77908" w:rsidP="00D77908">
      <w:pPr>
        <w:jc w:val="both"/>
        <w:rPr>
          <w:rFonts w:ascii="Arial" w:hAnsi="Arial" w:cs="Arial"/>
          <w:b/>
          <w:bCs/>
          <w:color w:val="2F5496" w:themeColor="accent1" w:themeShade="BF"/>
          <w:sz w:val="24"/>
          <w:szCs w:val="24"/>
        </w:rPr>
      </w:pPr>
      <w:r>
        <w:rPr>
          <w:rFonts w:ascii="Arial" w:hAnsi="Arial" w:cs="Arial"/>
          <w:b/>
          <w:bCs/>
          <w:color w:val="2F5496" w:themeColor="accent1" w:themeShade="BF"/>
          <w:sz w:val="24"/>
          <w:szCs w:val="24"/>
        </w:rPr>
        <w:t>General notes on the paper</w:t>
      </w:r>
    </w:p>
    <w:p w14:paraId="340BEDBC" w14:textId="7894F616" w:rsidR="00D77908" w:rsidRPr="002D7AC7" w:rsidRDefault="00D77908" w:rsidP="00D77908">
      <w:pPr>
        <w:rPr>
          <w:rFonts w:ascii="Arial" w:hAnsi="Arial" w:cs="Arial"/>
        </w:rPr>
      </w:pPr>
      <w:r w:rsidRPr="002D7AC7">
        <w:rPr>
          <w:rFonts w:ascii="Arial" w:hAnsi="Arial" w:cs="Arial"/>
        </w:rPr>
        <w:t xml:space="preserve">The EVC welcomes the AERs review into the </w:t>
      </w:r>
      <w:proofErr w:type="gramStart"/>
      <w:r w:rsidRPr="002D7AC7">
        <w:rPr>
          <w:rFonts w:ascii="Arial" w:hAnsi="Arial" w:cs="Arial"/>
        </w:rPr>
        <w:t>exemptions</w:t>
      </w:r>
      <w:proofErr w:type="gramEnd"/>
      <w:r w:rsidRPr="002D7AC7">
        <w:rPr>
          <w:rFonts w:ascii="Arial" w:hAnsi="Arial" w:cs="Arial"/>
        </w:rPr>
        <w:t xml:space="preserve"> framework for embedded networks and the opportunity to contribute to it.</w:t>
      </w:r>
      <w:r w:rsidR="00E4346D">
        <w:rPr>
          <w:rFonts w:ascii="Arial" w:hAnsi="Arial" w:cs="Arial"/>
        </w:rPr>
        <w:t xml:space="preserve"> </w:t>
      </w:r>
      <w:r w:rsidRPr="002D7AC7">
        <w:rPr>
          <w:rFonts w:ascii="Arial" w:hAnsi="Arial" w:cs="Arial"/>
        </w:rPr>
        <w:t>It is imperative that consumers enjoy appropriate protections of their essential services</w:t>
      </w:r>
      <w:r w:rsidR="00926217">
        <w:rPr>
          <w:rFonts w:ascii="Arial" w:hAnsi="Arial" w:cs="Arial"/>
        </w:rPr>
        <w:t>.</w:t>
      </w:r>
      <w:r w:rsidR="00E4346D">
        <w:rPr>
          <w:rFonts w:ascii="Arial" w:hAnsi="Arial" w:cs="Arial"/>
        </w:rPr>
        <w:t xml:space="preserve"> </w:t>
      </w:r>
      <w:r w:rsidRPr="002D7AC7">
        <w:rPr>
          <w:rFonts w:ascii="Arial" w:hAnsi="Arial" w:cs="Arial"/>
        </w:rPr>
        <w:t xml:space="preserve">Consumers are rightly placed at the centre of energy retail and supply, likewise </w:t>
      </w:r>
      <w:r w:rsidR="00726E11">
        <w:rPr>
          <w:rFonts w:ascii="Arial" w:hAnsi="Arial" w:cs="Arial"/>
        </w:rPr>
        <w:t>in</w:t>
      </w:r>
      <w:r w:rsidRPr="002D7AC7">
        <w:rPr>
          <w:rFonts w:ascii="Arial" w:hAnsi="Arial" w:cs="Arial"/>
        </w:rPr>
        <w:t xml:space="preserve"> the energy transition and more specifically the transition of the transport sector</w:t>
      </w:r>
      <w:r w:rsidR="00926217">
        <w:rPr>
          <w:rFonts w:ascii="Arial" w:hAnsi="Arial" w:cs="Arial"/>
        </w:rPr>
        <w:t>.</w:t>
      </w:r>
    </w:p>
    <w:p w14:paraId="191E0B14" w14:textId="3D2B2950" w:rsidR="00926217" w:rsidRDefault="00D77908" w:rsidP="00D77908">
      <w:pPr>
        <w:rPr>
          <w:rFonts w:ascii="Arial" w:hAnsi="Arial" w:cs="Arial"/>
        </w:rPr>
      </w:pPr>
      <w:r w:rsidRPr="002D7AC7">
        <w:rPr>
          <w:rFonts w:ascii="Arial" w:hAnsi="Arial" w:cs="Arial"/>
        </w:rPr>
        <w:t xml:space="preserve">As the AER notes in its </w:t>
      </w:r>
      <w:hyperlink r:id="rId11" w:history="1">
        <w:r w:rsidRPr="002D7AC7">
          <w:rPr>
            <w:rStyle w:val="Hyperlink"/>
            <w:rFonts w:ascii="Arial" w:hAnsi="Arial" w:cs="Arial"/>
          </w:rPr>
          <w:t>guideline</w:t>
        </w:r>
      </w:hyperlink>
      <w:r w:rsidRPr="002D7AC7">
        <w:rPr>
          <w:rFonts w:ascii="Arial" w:hAnsi="Arial" w:cs="Arial"/>
        </w:rPr>
        <w:t xml:space="preserve"> (p52, citation 41), it does not regulate energy used for vehicle charging. For this reason, it is necessary to separate embedded networks </w:t>
      </w:r>
      <w:r w:rsidR="00926217">
        <w:rPr>
          <w:rFonts w:ascii="Arial" w:hAnsi="Arial" w:cs="Arial"/>
        </w:rPr>
        <w:t xml:space="preserve">dedicated to </w:t>
      </w:r>
      <w:r w:rsidRPr="002D7AC7">
        <w:rPr>
          <w:rFonts w:ascii="Arial" w:hAnsi="Arial" w:cs="Arial"/>
        </w:rPr>
        <w:t xml:space="preserve">supplying </w:t>
      </w:r>
      <w:r w:rsidR="00926217">
        <w:rPr>
          <w:rFonts w:ascii="Arial" w:hAnsi="Arial" w:cs="Arial"/>
        </w:rPr>
        <w:t xml:space="preserve">energy for EV charging </w:t>
      </w:r>
      <w:r w:rsidRPr="002D7AC7">
        <w:rPr>
          <w:rFonts w:ascii="Arial" w:hAnsi="Arial" w:cs="Arial"/>
        </w:rPr>
        <w:t>from the issues discussed in the paper</w:t>
      </w:r>
      <w:r w:rsidR="00926217">
        <w:rPr>
          <w:rFonts w:ascii="Arial" w:hAnsi="Arial" w:cs="Arial"/>
        </w:rPr>
        <w:t>, which principally relate to embedded networks supplying premises.</w:t>
      </w:r>
    </w:p>
    <w:p w14:paraId="48AC080F" w14:textId="2AD2DFA5" w:rsidR="00D77908" w:rsidRPr="002D7AC7" w:rsidRDefault="00926217" w:rsidP="00D77908">
      <w:pPr>
        <w:rPr>
          <w:rFonts w:ascii="Arial" w:hAnsi="Arial" w:cs="Arial"/>
        </w:rPr>
      </w:pPr>
      <w:r>
        <w:rPr>
          <w:rFonts w:ascii="Arial" w:hAnsi="Arial" w:cs="Arial"/>
        </w:rPr>
        <w:t xml:space="preserve">The core principles justifying the difference in approach are addressed in the AER’s recent final advice to ministers around consumer </w:t>
      </w:r>
      <w:r w:rsidR="005721EF">
        <w:rPr>
          <w:rFonts w:ascii="Arial" w:hAnsi="Arial" w:cs="Arial"/>
        </w:rPr>
        <w:t>protection and</w:t>
      </w:r>
      <w:r>
        <w:rPr>
          <w:rFonts w:ascii="Arial" w:hAnsi="Arial" w:cs="Arial"/>
        </w:rPr>
        <w:t xml:space="preserve"> has been covered by the EVC in multiple previous submissions – the consumer is not locked in to drawing energy for their vehicle at a particular place or time, and the supply of energy for private transport is not an essential service.</w:t>
      </w:r>
    </w:p>
    <w:p w14:paraId="0ABDFB39" w14:textId="1A6F9D80" w:rsidR="00D77908" w:rsidRPr="006A4614" w:rsidRDefault="00D77908" w:rsidP="00D77908">
      <w:pPr>
        <w:rPr>
          <w:rFonts w:ascii="Arial" w:hAnsi="Arial" w:cs="Arial"/>
        </w:rPr>
      </w:pPr>
      <w:r w:rsidRPr="002D7AC7">
        <w:rPr>
          <w:rFonts w:ascii="Arial" w:hAnsi="Arial" w:cs="Arial"/>
        </w:rPr>
        <w:t xml:space="preserve">Where supply is not separable, the consumer protections that apply to the premises will now also apply to the EVSE. </w:t>
      </w:r>
      <w:r w:rsidRPr="00FD5D1B">
        <w:rPr>
          <w:rFonts w:ascii="Arial" w:hAnsi="Arial" w:cs="Arial"/>
        </w:rPr>
        <w:t>The EVC notes this is a marked increase in the degree to which supply of private transport energy is protected.</w:t>
      </w:r>
      <w:r w:rsidRPr="002D7AC7">
        <w:rPr>
          <w:rFonts w:ascii="Arial" w:hAnsi="Arial" w:cs="Arial"/>
        </w:rPr>
        <w:t xml:space="preserve"> Under the situation since </w:t>
      </w:r>
      <w:r w:rsidR="00AD3628">
        <w:rPr>
          <w:rFonts w:ascii="Arial" w:hAnsi="Arial" w:cs="Arial"/>
        </w:rPr>
        <w:t xml:space="preserve">Fossil fuel </w:t>
      </w:r>
      <w:r w:rsidRPr="002D7AC7">
        <w:rPr>
          <w:rFonts w:ascii="Arial" w:hAnsi="Arial" w:cs="Arial"/>
        </w:rPr>
        <w:t xml:space="preserve">vehicles became mainstream, a consumer unable to pay for fuel has no right to it. In future under this scenario, the </w:t>
      </w:r>
      <w:r w:rsidR="00E4346D">
        <w:rPr>
          <w:rFonts w:ascii="Arial" w:hAnsi="Arial" w:cs="Arial"/>
        </w:rPr>
        <w:t>~</w:t>
      </w:r>
      <w:r w:rsidRPr="002D7AC7">
        <w:rPr>
          <w:rFonts w:ascii="Arial" w:hAnsi="Arial" w:cs="Arial"/>
        </w:rPr>
        <w:t xml:space="preserve">75% of consumers in Australia with access to off-street parking to charge </w:t>
      </w:r>
      <w:r w:rsidRPr="002D7AC7">
        <w:rPr>
          <w:rFonts w:ascii="Arial" w:hAnsi="Arial" w:cs="Arial"/>
        </w:rPr>
        <w:lastRenderedPageBreak/>
        <w:t xml:space="preserve">their EV will be able to put energy in their vehicles and enjoy the </w:t>
      </w:r>
      <w:r w:rsidRPr="006A4614">
        <w:rPr>
          <w:rFonts w:ascii="Arial" w:hAnsi="Arial" w:cs="Arial"/>
        </w:rPr>
        <w:t>same protections to their vehic</w:t>
      </w:r>
      <w:r w:rsidR="00926217">
        <w:rPr>
          <w:rFonts w:ascii="Arial" w:hAnsi="Arial" w:cs="Arial"/>
        </w:rPr>
        <w:t>ular energy</w:t>
      </w:r>
      <w:r w:rsidRPr="006A4614">
        <w:rPr>
          <w:rFonts w:ascii="Arial" w:hAnsi="Arial" w:cs="Arial"/>
        </w:rPr>
        <w:t xml:space="preserve"> supply as they do </w:t>
      </w:r>
      <w:r w:rsidR="00926217">
        <w:rPr>
          <w:rFonts w:ascii="Arial" w:hAnsi="Arial" w:cs="Arial"/>
        </w:rPr>
        <w:t xml:space="preserve">for </w:t>
      </w:r>
      <w:r w:rsidRPr="006A4614">
        <w:rPr>
          <w:rFonts w:ascii="Arial" w:hAnsi="Arial" w:cs="Arial"/>
        </w:rPr>
        <w:t>their electricity supply to the home.</w:t>
      </w:r>
    </w:p>
    <w:p w14:paraId="36FBE82B" w14:textId="25854639" w:rsidR="00545CBC" w:rsidRDefault="006A4614" w:rsidP="00EE4393">
      <w:pPr>
        <w:rPr>
          <w:rFonts w:ascii="Arial" w:hAnsi="Arial" w:cs="Arial"/>
        </w:rPr>
      </w:pPr>
      <w:r w:rsidRPr="006A4614">
        <w:rPr>
          <w:rFonts w:ascii="Arial" w:hAnsi="Arial" w:cs="Arial"/>
        </w:rPr>
        <w:t>Caution should be exercised such that we do not expand consumer protections needlessly. Over-doing consumer protection in this regard could reasonably be expected to result in reduced competition in the marketplace, and increased costs, which are of course ultimately borne by consumers. In the case of EV, this would constitute the creation of additional barriers to EV uptake, inhibiting our achievement of net-zero goals</w:t>
      </w:r>
      <w:r>
        <w:t>.</w:t>
      </w:r>
    </w:p>
    <w:p w14:paraId="32A3DB72" w14:textId="77777777" w:rsidR="00EE4393" w:rsidRPr="002D7AC7" w:rsidRDefault="00EE4393" w:rsidP="00EE4393">
      <w:pPr>
        <w:rPr>
          <w:rFonts w:ascii="Arial" w:hAnsi="Arial" w:cs="Arial"/>
        </w:rPr>
      </w:pPr>
    </w:p>
    <w:p w14:paraId="355B7008" w14:textId="71A4DB4A" w:rsidR="00D77908" w:rsidRDefault="00D77908" w:rsidP="00D77908">
      <w:pPr>
        <w:jc w:val="both"/>
        <w:rPr>
          <w:rFonts w:ascii="Arial" w:hAnsi="Arial" w:cs="Arial"/>
          <w:b/>
          <w:bCs/>
          <w:color w:val="2F5496" w:themeColor="accent1" w:themeShade="BF"/>
          <w:sz w:val="24"/>
          <w:szCs w:val="24"/>
        </w:rPr>
      </w:pPr>
      <w:r>
        <w:rPr>
          <w:rFonts w:ascii="Arial" w:hAnsi="Arial" w:cs="Arial"/>
          <w:b/>
          <w:bCs/>
          <w:color w:val="2F5496" w:themeColor="accent1" w:themeShade="BF"/>
          <w:sz w:val="24"/>
          <w:szCs w:val="24"/>
        </w:rPr>
        <w:t>Case</w:t>
      </w:r>
      <w:r w:rsidR="00873D5E">
        <w:rPr>
          <w:rFonts w:ascii="Arial" w:hAnsi="Arial" w:cs="Arial"/>
          <w:b/>
          <w:bCs/>
          <w:color w:val="2F5496" w:themeColor="accent1" w:themeShade="BF"/>
          <w:sz w:val="24"/>
          <w:szCs w:val="24"/>
        </w:rPr>
        <w:t xml:space="preserve"> S</w:t>
      </w:r>
      <w:r>
        <w:rPr>
          <w:rFonts w:ascii="Arial" w:hAnsi="Arial" w:cs="Arial"/>
          <w:b/>
          <w:bCs/>
          <w:color w:val="2F5496" w:themeColor="accent1" w:themeShade="BF"/>
          <w:sz w:val="24"/>
          <w:szCs w:val="24"/>
        </w:rPr>
        <w:t>tudies</w:t>
      </w:r>
      <w:r w:rsidR="00291534">
        <w:rPr>
          <w:rFonts w:ascii="Arial" w:hAnsi="Arial" w:cs="Arial"/>
          <w:b/>
          <w:bCs/>
          <w:color w:val="2F5496" w:themeColor="accent1" w:themeShade="BF"/>
          <w:sz w:val="24"/>
          <w:szCs w:val="24"/>
        </w:rPr>
        <w:t xml:space="preserve"> </w:t>
      </w:r>
    </w:p>
    <w:p w14:paraId="18475F05" w14:textId="62F1D26F" w:rsidR="008F71E6" w:rsidRDefault="00632B51" w:rsidP="00D77908">
      <w:pPr>
        <w:rPr>
          <w:rFonts w:ascii="Arial" w:hAnsi="Arial" w:cs="Arial"/>
        </w:rPr>
      </w:pPr>
      <w:r>
        <w:rPr>
          <w:rFonts w:ascii="Arial" w:hAnsi="Arial" w:cs="Arial"/>
        </w:rPr>
        <w:t>Example 1</w:t>
      </w:r>
      <w:r w:rsidRPr="003336E0">
        <w:rPr>
          <w:rFonts w:ascii="Arial" w:hAnsi="Arial" w:cs="Arial"/>
        </w:rPr>
        <w:t>;</w:t>
      </w:r>
      <w:r w:rsidR="003336E0" w:rsidRPr="003336E0">
        <w:rPr>
          <w:rFonts w:ascii="Arial" w:hAnsi="Arial" w:cs="Arial"/>
        </w:rPr>
        <w:t xml:space="preserve"> </w:t>
      </w:r>
      <w:proofErr w:type="gramStart"/>
      <w:r w:rsidR="003336E0" w:rsidRPr="003336E0">
        <w:rPr>
          <w:rFonts w:ascii="Arial" w:hAnsi="Arial" w:cs="Arial"/>
        </w:rPr>
        <w:t>Multi-apartment</w:t>
      </w:r>
      <w:proofErr w:type="gramEnd"/>
      <w:r w:rsidR="003336E0" w:rsidRPr="003336E0">
        <w:rPr>
          <w:rFonts w:ascii="Arial" w:hAnsi="Arial" w:cs="Arial"/>
        </w:rPr>
        <w:t xml:space="preserve"> complex</w:t>
      </w:r>
      <w:r w:rsidR="00D37CC9">
        <w:rPr>
          <w:rFonts w:ascii="Arial" w:hAnsi="Arial" w:cs="Arial"/>
        </w:rPr>
        <w:t xml:space="preserve"> embedded network</w:t>
      </w:r>
      <w:r w:rsidR="003336E0" w:rsidRPr="003336E0">
        <w:rPr>
          <w:rFonts w:ascii="Arial" w:hAnsi="Arial" w:cs="Arial"/>
        </w:rPr>
        <w:t xml:space="preserve"> with</w:t>
      </w:r>
      <w:r w:rsidR="001D6013" w:rsidRPr="003336E0">
        <w:rPr>
          <w:rFonts w:ascii="Arial" w:hAnsi="Arial" w:cs="Arial"/>
        </w:rPr>
        <w:t xml:space="preserve"> a shared EV charger for residents use, managed by a CPO</w:t>
      </w:r>
      <w:r w:rsidRPr="003336E0">
        <w:rPr>
          <w:rFonts w:ascii="Arial" w:hAnsi="Arial" w:cs="Arial"/>
        </w:rPr>
        <w:t>.</w:t>
      </w:r>
      <w:r w:rsidR="00E4346D">
        <w:rPr>
          <w:rFonts w:ascii="Arial" w:hAnsi="Arial" w:cs="Arial"/>
        </w:rPr>
        <w:t xml:space="preserve"> </w:t>
      </w:r>
      <w:r w:rsidR="00D37CC9">
        <w:rPr>
          <w:rFonts w:ascii="Arial" w:hAnsi="Arial" w:cs="Arial"/>
        </w:rPr>
        <w:t xml:space="preserve">Residents </w:t>
      </w:r>
      <w:r w:rsidR="00F33D69">
        <w:rPr>
          <w:rFonts w:ascii="Arial" w:hAnsi="Arial" w:cs="Arial"/>
        </w:rPr>
        <w:t>pay the CPO individually for use</w:t>
      </w:r>
      <w:r w:rsidR="00196D24">
        <w:rPr>
          <w:rFonts w:ascii="Arial" w:hAnsi="Arial" w:cs="Arial"/>
        </w:rPr>
        <w:t xml:space="preserve">. There are overheads </w:t>
      </w:r>
      <w:r w:rsidR="00823CFA">
        <w:rPr>
          <w:rFonts w:ascii="Arial" w:hAnsi="Arial" w:cs="Arial"/>
        </w:rPr>
        <w:t xml:space="preserve">involved in </w:t>
      </w:r>
      <w:r w:rsidR="004E11A4">
        <w:rPr>
          <w:rFonts w:ascii="Arial" w:hAnsi="Arial" w:cs="Arial"/>
        </w:rPr>
        <w:t>getting planning,</w:t>
      </w:r>
      <w:r w:rsidR="00196D24">
        <w:rPr>
          <w:rFonts w:ascii="Arial" w:hAnsi="Arial" w:cs="Arial"/>
        </w:rPr>
        <w:t xml:space="preserve"> supplying</w:t>
      </w:r>
      <w:r w:rsidR="00823CFA">
        <w:rPr>
          <w:rFonts w:ascii="Arial" w:hAnsi="Arial" w:cs="Arial"/>
        </w:rPr>
        <w:t xml:space="preserve">, </w:t>
      </w:r>
      <w:proofErr w:type="gramStart"/>
      <w:r w:rsidR="00823CFA">
        <w:rPr>
          <w:rFonts w:ascii="Arial" w:hAnsi="Arial" w:cs="Arial"/>
        </w:rPr>
        <w:t>installing</w:t>
      </w:r>
      <w:proofErr w:type="gramEnd"/>
      <w:r w:rsidR="00196D24">
        <w:rPr>
          <w:rFonts w:ascii="Arial" w:hAnsi="Arial" w:cs="Arial"/>
        </w:rPr>
        <w:t xml:space="preserve"> and maintaining the equipment as well as paying for the energy.</w:t>
      </w:r>
      <w:r w:rsidR="00E4346D">
        <w:rPr>
          <w:rFonts w:ascii="Arial" w:hAnsi="Arial" w:cs="Arial"/>
        </w:rPr>
        <w:t xml:space="preserve"> </w:t>
      </w:r>
      <w:r w:rsidR="00196D24">
        <w:rPr>
          <w:rFonts w:ascii="Arial" w:hAnsi="Arial" w:cs="Arial"/>
        </w:rPr>
        <w:t xml:space="preserve">These costs are passed onto the </w:t>
      </w:r>
      <w:r w:rsidR="00823CFA">
        <w:rPr>
          <w:rFonts w:ascii="Arial" w:hAnsi="Arial" w:cs="Arial"/>
        </w:rPr>
        <w:t xml:space="preserve">EV owner </w:t>
      </w:r>
      <w:r w:rsidR="004E11A4">
        <w:rPr>
          <w:rFonts w:ascii="Arial" w:hAnsi="Arial" w:cs="Arial"/>
        </w:rPr>
        <w:t>plus</w:t>
      </w:r>
      <w:r w:rsidR="00823CFA">
        <w:rPr>
          <w:rFonts w:ascii="Arial" w:hAnsi="Arial" w:cs="Arial"/>
        </w:rPr>
        <w:t xml:space="preserve"> a margin. </w:t>
      </w:r>
    </w:p>
    <w:p w14:paraId="2A9B8F91" w14:textId="4F30E1EA" w:rsidR="00F86C75" w:rsidRDefault="00367A76" w:rsidP="00F86C75">
      <w:pPr>
        <w:rPr>
          <w:rFonts w:ascii="Arial" w:hAnsi="Arial" w:cs="Arial"/>
        </w:rPr>
      </w:pPr>
      <w:r>
        <w:rPr>
          <w:rFonts w:ascii="Arial" w:hAnsi="Arial" w:cs="Arial"/>
        </w:rPr>
        <w:t>This is c</w:t>
      </w:r>
      <w:r w:rsidR="00F86C75">
        <w:rPr>
          <w:rFonts w:ascii="Arial" w:hAnsi="Arial" w:cs="Arial"/>
        </w:rPr>
        <w:t xml:space="preserve">losely aligned with AER’s position and logic regarding Public EV charging in the consumer protections framework review – refer to box 5.1.  </w:t>
      </w:r>
      <w:hyperlink r:id="rId12" w:tgtFrame="_blank" w:history="1">
        <w:r w:rsidR="00F86C75">
          <w:rPr>
            <w:rStyle w:val="Hyperlink"/>
            <w:rFonts w:ascii="Arial" w:hAnsi="Arial" w:cs="Arial"/>
            <w:sz w:val="23"/>
            <w:szCs w:val="23"/>
            <w:shd w:val="clear" w:color="auto" w:fill="F8F8F8"/>
          </w:rPr>
          <w:t>https://www.aer.gov.au/system/files/2023-12/AER%20-%20Review%20of%20consumer%20prote[…]rgy%20services%20-%20Final%20advice%20-%20November%202023.pdf</w:t>
        </w:r>
      </w:hyperlink>
    </w:p>
    <w:p w14:paraId="0FE5B0D6" w14:textId="56DD3F8A" w:rsidR="00D77908" w:rsidRDefault="1EEE4D7E" w:rsidP="00D77908">
      <w:pPr>
        <w:rPr>
          <w:rFonts w:ascii="Arial" w:hAnsi="Arial" w:cs="Arial"/>
        </w:rPr>
      </w:pPr>
      <w:r w:rsidRPr="1EEE4D7E">
        <w:rPr>
          <w:rFonts w:ascii="Arial" w:hAnsi="Arial" w:cs="Arial"/>
        </w:rPr>
        <w:t>Example 2</w:t>
      </w:r>
      <w:r w:rsidR="00D77E44">
        <w:rPr>
          <w:rFonts w:ascii="Arial" w:hAnsi="Arial" w:cs="Arial"/>
        </w:rPr>
        <w:t>a</w:t>
      </w:r>
      <w:r w:rsidRPr="1EEE4D7E">
        <w:rPr>
          <w:rFonts w:ascii="Arial" w:hAnsi="Arial" w:cs="Arial"/>
        </w:rPr>
        <w:t xml:space="preserve">; </w:t>
      </w:r>
      <w:proofErr w:type="gramStart"/>
      <w:r w:rsidRPr="1EEE4D7E">
        <w:rPr>
          <w:rFonts w:ascii="Arial" w:hAnsi="Arial" w:cs="Arial"/>
        </w:rPr>
        <w:t>Multi-apartment</w:t>
      </w:r>
      <w:proofErr w:type="gramEnd"/>
      <w:r w:rsidRPr="1EEE4D7E">
        <w:rPr>
          <w:rFonts w:ascii="Arial" w:hAnsi="Arial" w:cs="Arial"/>
        </w:rPr>
        <w:t xml:space="preserve"> complex with a private arrangement between the owners corporation (OC) and the residents. Individual chargers have been installed in allocated parking spaces with the building manager reading a meter for each on a quarterly basis.  This structure has potential to be </w:t>
      </w:r>
      <w:r w:rsidR="00926217">
        <w:rPr>
          <w:rFonts w:ascii="Arial" w:hAnsi="Arial" w:cs="Arial"/>
        </w:rPr>
        <w:t xml:space="preserve">done on a cost-pass-through basis </w:t>
      </w:r>
      <w:r w:rsidRPr="1EEE4D7E">
        <w:rPr>
          <w:rFonts w:ascii="Arial" w:hAnsi="Arial" w:cs="Arial"/>
        </w:rPr>
        <w:t>because the OC is</w:t>
      </w:r>
      <w:r w:rsidR="00926217">
        <w:rPr>
          <w:rFonts w:ascii="Arial" w:hAnsi="Arial" w:cs="Arial"/>
        </w:rPr>
        <w:t xml:space="preserve"> </w:t>
      </w:r>
      <w:r w:rsidRPr="1EEE4D7E">
        <w:rPr>
          <w:rFonts w:ascii="Arial" w:hAnsi="Arial" w:cs="Arial"/>
        </w:rPr>
        <w:t xml:space="preserve">buying the </w:t>
      </w:r>
      <w:r w:rsidR="00926217">
        <w:rPr>
          <w:rFonts w:ascii="Arial" w:hAnsi="Arial" w:cs="Arial"/>
        </w:rPr>
        <w:t xml:space="preserve">energy on a commercial contract, </w:t>
      </w:r>
      <w:r w:rsidRPr="1EEE4D7E">
        <w:rPr>
          <w:rFonts w:ascii="Arial" w:hAnsi="Arial" w:cs="Arial"/>
        </w:rPr>
        <w:t xml:space="preserve">and the metering solution </w:t>
      </w:r>
      <w:r w:rsidR="00926217">
        <w:rPr>
          <w:rFonts w:ascii="Arial" w:hAnsi="Arial" w:cs="Arial"/>
        </w:rPr>
        <w:t>can be</w:t>
      </w:r>
      <w:r w:rsidRPr="1EEE4D7E">
        <w:rPr>
          <w:rFonts w:ascii="Arial" w:hAnsi="Arial" w:cs="Arial"/>
        </w:rPr>
        <w:t xml:space="preserve"> relatively cheap with </w:t>
      </w:r>
      <w:r w:rsidR="00926217">
        <w:rPr>
          <w:rFonts w:ascii="Arial" w:hAnsi="Arial" w:cs="Arial"/>
        </w:rPr>
        <w:t xml:space="preserve">very </w:t>
      </w:r>
      <w:r w:rsidRPr="1EEE4D7E">
        <w:rPr>
          <w:rFonts w:ascii="Arial" w:hAnsi="Arial" w:cs="Arial"/>
        </w:rPr>
        <w:t xml:space="preserve">low overheads.  There are still costs of planning, supplying, </w:t>
      </w:r>
      <w:proofErr w:type="gramStart"/>
      <w:r w:rsidRPr="1EEE4D7E">
        <w:rPr>
          <w:rFonts w:ascii="Arial" w:hAnsi="Arial" w:cs="Arial"/>
        </w:rPr>
        <w:t>installing</w:t>
      </w:r>
      <w:proofErr w:type="gramEnd"/>
      <w:r w:rsidRPr="1EEE4D7E">
        <w:rPr>
          <w:rFonts w:ascii="Arial" w:hAnsi="Arial" w:cs="Arial"/>
        </w:rPr>
        <w:t xml:space="preserve"> and maintaining the EVSE.</w:t>
      </w:r>
      <w:r w:rsidR="00E4346D">
        <w:rPr>
          <w:rFonts w:ascii="Arial" w:hAnsi="Arial" w:cs="Arial"/>
        </w:rPr>
        <w:t xml:space="preserve"> </w:t>
      </w:r>
      <w:r w:rsidRPr="1EEE4D7E">
        <w:rPr>
          <w:rFonts w:ascii="Arial" w:hAnsi="Arial" w:cs="Arial"/>
        </w:rPr>
        <w:t>A tenant driving 15000</w:t>
      </w:r>
      <w:r w:rsidR="00E4346D">
        <w:rPr>
          <w:rFonts w:ascii="Arial" w:hAnsi="Arial" w:cs="Arial"/>
        </w:rPr>
        <w:t xml:space="preserve"> </w:t>
      </w:r>
      <w:r w:rsidRPr="1EEE4D7E">
        <w:rPr>
          <w:rFonts w:ascii="Arial" w:hAnsi="Arial" w:cs="Arial"/>
        </w:rPr>
        <w:t xml:space="preserve">kms per year (vehicle efficiency of 20kWh/100km) at a price of 15c/kWh </w:t>
      </w:r>
      <w:r w:rsidR="00D77E44">
        <w:rPr>
          <w:rFonts w:ascii="Arial" w:hAnsi="Arial" w:cs="Arial"/>
        </w:rPr>
        <w:t xml:space="preserve">passed through by the OC </w:t>
      </w:r>
      <w:r w:rsidRPr="1EEE4D7E">
        <w:rPr>
          <w:rFonts w:ascii="Arial" w:hAnsi="Arial" w:cs="Arial"/>
        </w:rPr>
        <w:t>will pay about $450 per year.</w:t>
      </w:r>
    </w:p>
    <w:p w14:paraId="3CC39C9B" w14:textId="4DDB74AC" w:rsidR="00731E18" w:rsidRDefault="1EEE4D7E" w:rsidP="008E74E3">
      <w:pPr>
        <w:rPr>
          <w:rFonts w:ascii="Arial" w:hAnsi="Arial" w:cs="Arial"/>
        </w:rPr>
      </w:pPr>
      <w:r w:rsidRPr="1EEE4D7E">
        <w:rPr>
          <w:rFonts w:ascii="Arial" w:hAnsi="Arial" w:cs="Arial"/>
        </w:rPr>
        <w:t>Example 2</w:t>
      </w:r>
      <w:r w:rsidR="00D77E44">
        <w:rPr>
          <w:rFonts w:ascii="Arial" w:hAnsi="Arial" w:cs="Arial"/>
        </w:rPr>
        <w:t xml:space="preserve">b; as above, but with the requirements for </w:t>
      </w:r>
      <w:r w:rsidRPr="1EEE4D7E">
        <w:rPr>
          <w:rFonts w:ascii="Arial" w:hAnsi="Arial" w:cs="Arial"/>
        </w:rPr>
        <w:t>a separate on-market meter for each EVSE and an on-market meter for each apartment, as it may not be practical or feasible to run a circuit from each apartment’s main switchboard. At the standard default offer of $1.20 daily supply charge,</w:t>
      </w:r>
      <w:r w:rsidR="00E4346D">
        <w:rPr>
          <w:rFonts w:ascii="Arial" w:hAnsi="Arial" w:cs="Arial"/>
        </w:rPr>
        <w:t xml:space="preserve"> </w:t>
      </w:r>
      <w:r w:rsidRPr="1EEE4D7E">
        <w:rPr>
          <w:rFonts w:ascii="Arial" w:hAnsi="Arial" w:cs="Arial"/>
        </w:rPr>
        <w:t xml:space="preserve">each resident will pay an extra $438 per year per </w:t>
      </w:r>
      <w:r w:rsidR="00D77E44">
        <w:rPr>
          <w:rFonts w:ascii="Arial" w:hAnsi="Arial" w:cs="Arial"/>
        </w:rPr>
        <w:t>for the additional meter</w:t>
      </w:r>
      <w:r w:rsidRPr="1EEE4D7E">
        <w:rPr>
          <w:rFonts w:ascii="Arial" w:hAnsi="Arial" w:cs="Arial"/>
        </w:rPr>
        <w:t>.</w:t>
      </w:r>
      <w:r w:rsidR="00E4346D">
        <w:rPr>
          <w:rFonts w:ascii="Arial" w:hAnsi="Arial" w:cs="Arial"/>
        </w:rPr>
        <w:t xml:space="preserve"> </w:t>
      </w:r>
      <w:r w:rsidRPr="1EEE4D7E">
        <w:rPr>
          <w:rFonts w:ascii="Arial" w:hAnsi="Arial" w:cs="Arial"/>
        </w:rPr>
        <w:t xml:space="preserve">If they </w:t>
      </w:r>
      <w:proofErr w:type="gramStart"/>
      <w:r w:rsidRPr="1EEE4D7E">
        <w:rPr>
          <w:rFonts w:ascii="Arial" w:hAnsi="Arial" w:cs="Arial"/>
        </w:rPr>
        <w:t>are able to</w:t>
      </w:r>
      <w:proofErr w:type="gramEnd"/>
      <w:r w:rsidRPr="1EEE4D7E">
        <w:rPr>
          <w:rFonts w:ascii="Arial" w:hAnsi="Arial" w:cs="Arial"/>
        </w:rPr>
        <w:t xml:space="preserve"> negotiate off-peak prices and pay on average 20c/kWh for EV charging, they pay $600 in electricity or $1</w:t>
      </w:r>
      <w:r w:rsidR="00D77E44">
        <w:rPr>
          <w:rFonts w:ascii="Arial" w:hAnsi="Arial" w:cs="Arial"/>
        </w:rPr>
        <w:t>040</w:t>
      </w:r>
      <w:r w:rsidRPr="1EEE4D7E">
        <w:rPr>
          <w:rFonts w:ascii="Arial" w:hAnsi="Arial" w:cs="Arial"/>
        </w:rPr>
        <w:t xml:space="preserve"> overall.</w:t>
      </w:r>
      <w:r w:rsidR="00D77E44">
        <w:rPr>
          <w:rFonts w:ascii="Arial" w:hAnsi="Arial" w:cs="Arial"/>
        </w:rPr>
        <w:t xml:space="preserve">  Each </w:t>
      </w:r>
      <w:r w:rsidRPr="1EEE4D7E">
        <w:rPr>
          <w:rFonts w:ascii="Arial" w:hAnsi="Arial" w:cs="Arial"/>
        </w:rPr>
        <w:t xml:space="preserve">resident is </w:t>
      </w:r>
      <w:r w:rsidR="00D77E44">
        <w:rPr>
          <w:rFonts w:ascii="Arial" w:hAnsi="Arial" w:cs="Arial"/>
        </w:rPr>
        <w:t>therefore about</w:t>
      </w:r>
      <w:r w:rsidRPr="1EEE4D7E">
        <w:rPr>
          <w:rFonts w:ascii="Arial" w:hAnsi="Arial" w:cs="Arial"/>
        </w:rPr>
        <w:t xml:space="preserve"> </w:t>
      </w:r>
      <w:r w:rsidR="00D77E44">
        <w:rPr>
          <w:rFonts w:ascii="Arial" w:hAnsi="Arial" w:cs="Arial"/>
        </w:rPr>
        <w:t xml:space="preserve">$600 </w:t>
      </w:r>
      <w:r w:rsidRPr="1EEE4D7E">
        <w:rPr>
          <w:rFonts w:ascii="Arial" w:hAnsi="Arial" w:cs="Arial"/>
        </w:rPr>
        <w:t>worse off</w:t>
      </w:r>
      <w:r w:rsidR="00D77E44">
        <w:rPr>
          <w:rFonts w:ascii="Arial" w:hAnsi="Arial" w:cs="Arial"/>
        </w:rPr>
        <w:t xml:space="preserve"> per year in ongoing </w:t>
      </w:r>
      <w:proofErr w:type="gramStart"/>
      <w:r w:rsidR="00D77E44">
        <w:rPr>
          <w:rFonts w:ascii="Arial" w:hAnsi="Arial" w:cs="Arial"/>
        </w:rPr>
        <w:t>costs, and</w:t>
      </w:r>
      <w:proofErr w:type="gramEnd"/>
      <w:r w:rsidR="00D77E44">
        <w:rPr>
          <w:rFonts w:ascii="Arial" w:hAnsi="Arial" w:cs="Arial"/>
        </w:rPr>
        <w:t xml:space="preserve"> will need to contribute to the significantly higher capex associated with deployment of on-market metering infrastructure.  This example also does not address the expected need for apartment complexes to run active load management of EV charging in their buildings to avoid the need for infrastructure upgrades, which may impact the ability of consumers to effectively utilise on-market retail offers in this setting.</w:t>
      </w:r>
    </w:p>
    <w:p w14:paraId="68651DF2" w14:textId="1D9A68EB" w:rsidR="00395B90" w:rsidRDefault="00F72D7D" w:rsidP="00395B90">
      <w:pPr>
        <w:jc w:val="both"/>
        <w:rPr>
          <w:rFonts w:ascii="Arial" w:hAnsi="Arial" w:cs="Arial"/>
          <w:b/>
          <w:bCs/>
          <w:color w:val="2F5496" w:themeColor="accent1" w:themeShade="BF"/>
          <w:sz w:val="24"/>
          <w:szCs w:val="24"/>
        </w:rPr>
      </w:pPr>
      <w:r>
        <w:rPr>
          <w:rFonts w:ascii="Arial" w:hAnsi="Arial" w:cs="Arial"/>
          <w:b/>
          <w:bCs/>
          <w:color w:val="2F5496" w:themeColor="accent1" w:themeShade="BF"/>
          <w:sz w:val="24"/>
          <w:szCs w:val="24"/>
        </w:rPr>
        <w:t>Harm</w:t>
      </w:r>
      <w:r w:rsidR="00395B90">
        <w:rPr>
          <w:rFonts w:ascii="Arial" w:hAnsi="Arial" w:cs="Arial"/>
          <w:b/>
          <w:bCs/>
          <w:color w:val="2F5496" w:themeColor="accent1" w:themeShade="BF"/>
          <w:sz w:val="24"/>
          <w:szCs w:val="24"/>
        </w:rPr>
        <w:t xml:space="preserve">s of </w:t>
      </w:r>
      <w:r>
        <w:rPr>
          <w:rFonts w:ascii="Arial" w:hAnsi="Arial" w:cs="Arial"/>
          <w:b/>
          <w:bCs/>
          <w:color w:val="2F5496" w:themeColor="accent1" w:themeShade="BF"/>
          <w:sz w:val="24"/>
          <w:szCs w:val="24"/>
        </w:rPr>
        <w:t>embedded networks</w:t>
      </w:r>
    </w:p>
    <w:p w14:paraId="54F41F7F" w14:textId="104895DE" w:rsidR="001B6084" w:rsidRDefault="00E44989" w:rsidP="00D77908">
      <w:pPr>
        <w:rPr>
          <w:rFonts w:ascii="Arial" w:hAnsi="Arial" w:cs="Arial"/>
        </w:rPr>
      </w:pPr>
      <w:r>
        <w:rPr>
          <w:rFonts w:ascii="Arial" w:hAnsi="Arial" w:cs="Arial"/>
        </w:rPr>
        <w:t xml:space="preserve">The EVC acknowledges </w:t>
      </w:r>
      <w:r w:rsidR="00E0755A">
        <w:rPr>
          <w:rFonts w:ascii="Arial" w:hAnsi="Arial" w:cs="Arial"/>
        </w:rPr>
        <w:t xml:space="preserve">the distress felt by some residents who have lived under an embedded network </w:t>
      </w:r>
      <w:r w:rsidR="003B4ED7">
        <w:rPr>
          <w:rFonts w:ascii="Arial" w:hAnsi="Arial" w:cs="Arial"/>
        </w:rPr>
        <w:t xml:space="preserve">(EN) </w:t>
      </w:r>
      <w:r w:rsidR="00E0755A">
        <w:rPr>
          <w:rFonts w:ascii="Arial" w:hAnsi="Arial" w:cs="Arial"/>
        </w:rPr>
        <w:t>structure that g</w:t>
      </w:r>
      <w:r w:rsidR="00E67BD4">
        <w:rPr>
          <w:rFonts w:ascii="Arial" w:hAnsi="Arial" w:cs="Arial"/>
        </w:rPr>
        <w:t>ave them a poor</w:t>
      </w:r>
      <w:r w:rsidR="00D67FEE" w:rsidRPr="00FD5D1B">
        <w:rPr>
          <w:rFonts w:ascii="Arial" w:hAnsi="Arial" w:cs="Arial"/>
        </w:rPr>
        <w:t>.</w:t>
      </w:r>
      <w:r w:rsidR="00E4346D">
        <w:rPr>
          <w:rFonts w:ascii="Arial" w:hAnsi="Arial" w:cs="Arial"/>
        </w:rPr>
        <w:t xml:space="preserve"> </w:t>
      </w:r>
      <w:r w:rsidR="00D67FEE">
        <w:rPr>
          <w:rFonts w:ascii="Arial" w:hAnsi="Arial" w:cs="Arial"/>
        </w:rPr>
        <w:t xml:space="preserve">There are of course the protections afforded </w:t>
      </w:r>
      <w:r w:rsidR="000C70CF">
        <w:rPr>
          <w:rFonts w:ascii="Arial" w:hAnsi="Arial" w:cs="Arial"/>
        </w:rPr>
        <w:t xml:space="preserve">through Australian Consumer Law and </w:t>
      </w:r>
      <w:r w:rsidR="0031797C">
        <w:rPr>
          <w:rFonts w:ascii="Arial" w:hAnsi="Arial" w:cs="Arial"/>
        </w:rPr>
        <w:t xml:space="preserve">consumers can always go to their appropriate </w:t>
      </w:r>
      <w:r w:rsidR="00304EC9">
        <w:rPr>
          <w:rFonts w:ascii="Arial" w:hAnsi="Arial" w:cs="Arial"/>
        </w:rPr>
        <w:t>O</w:t>
      </w:r>
      <w:r w:rsidR="0031797C">
        <w:rPr>
          <w:rFonts w:ascii="Arial" w:hAnsi="Arial" w:cs="Arial"/>
        </w:rPr>
        <w:t>mbudsman.</w:t>
      </w:r>
      <w:r w:rsidR="00E4346D">
        <w:rPr>
          <w:rFonts w:ascii="Arial" w:hAnsi="Arial" w:cs="Arial"/>
        </w:rPr>
        <w:t xml:space="preserve"> </w:t>
      </w:r>
      <w:r w:rsidR="0031797C">
        <w:rPr>
          <w:rFonts w:ascii="Arial" w:hAnsi="Arial" w:cs="Arial"/>
        </w:rPr>
        <w:t>H</w:t>
      </w:r>
      <w:r w:rsidR="00AD42C8">
        <w:rPr>
          <w:rFonts w:ascii="Arial" w:hAnsi="Arial" w:cs="Arial"/>
        </w:rPr>
        <w:t>owever</w:t>
      </w:r>
      <w:r w:rsidR="00304EC9">
        <w:rPr>
          <w:rFonts w:ascii="Arial" w:hAnsi="Arial" w:cs="Arial"/>
        </w:rPr>
        <w:t>,</w:t>
      </w:r>
      <w:r w:rsidR="00AD42C8">
        <w:rPr>
          <w:rFonts w:ascii="Arial" w:hAnsi="Arial" w:cs="Arial"/>
        </w:rPr>
        <w:t xml:space="preserve"> </w:t>
      </w:r>
      <w:r w:rsidR="003A4FC0">
        <w:rPr>
          <w:rFonts w:ascii="Arial" w:hAnsi="Arial" w:cs="Arial"/>
        </w:rPr>
        <w:t>we also acknowledge that most grievances relate to cost</w:t>
      </w:r>
      <w:r w:rsidR="00D77E44">
        <w:rPr>
          <w:rFonts w:ascii="Arial" w:hAnsi="Arial" w:cs="Arial"/>
        </w:rPr>
        <w:t>, and come about due to the monopolistic nature of the supply.</w:t>
      </w:r>
    </w:p>
    <w:p w14:paraId="208B9112" w14:textId="2F3B245C" w:rsidR="002657D6" w:rsidRPr="00C86179" w:rsidRDefault="001605CD" w:rsidP="00D77908">
      <w:pPr>
        <w:rPr>
          <w:rFonts w:ascii="Arial" w:hAnsi="Arial" w:cs="Arial"/>
        </w:rPr>
      </w:pPr>
      <w:r>
        <w:rPr>
          <w:rFonts w:ascii="Arial" w:hAnsi="Arial" w:cs="Arial"/>
        </w:rPr>
        <w:lastRenderedPageBreak/>
        <w:t xml:space="preserve">EVSE </w:t>
      </w:r>
      <w:r w:rsidR="00D77E44">
        <w:rPr>
          <w:rFonts w:ascii="Arial" w:hAnsi="Arial" w:cs="Arial"/>
        </w:rPr>
        <w:t xml:space="preserve">as a load within an embedded network is </w:t>
      </w:r>
      <w:proofErr w:type="gramStart"/>
      <w:r w:rsidR="00D77E44">
        <w:rPr>
          <w:rFonts w:ascii="Arial" w:hAnsi="Arial" w:cs="Arial"/>
        </w:rPr>
        <w:t>different, because</w:t>
      </w:r>
      <w:proofErr w:type="gramEnd"/>
      <w:r w:rsidR="00D77E44">
        <w:rPr>
          <w:rFonts w:ascii="Arial" w:hAnsi="Arial" w:cs="Arial"/>
        </w:rPr>
        <w:t xml:space="preserve"> the inherent monopolistic nature is absent.  </w:t>
      </w:r>
      <w:r w:rsidR="001F5AEF">
        <w:rPr>
          <w:rFonts w:ascii="Arial" w:hAnsi="Arial" w:cs="Arial"/>
        </w:rPr>
        <w:t xml:space="preserve">If prices </w:t>
      </w:r>
      <w:r w:rsidR="00D77E44">
        <w:rPr>
          <w:rFonts w:ascii="Arial" w:hAnsi="Arial" w:cs="Arial"/>
        </w:rPr>
        <w:t xml:space="preserve">or conditions for EV charging within the embedded network setting </w:t>
      </w:r>
      <w:r w:rsidR="001F5AEF">
        <w:rPr>
          <w:rFonts w:ascii="Arial" w:hAnsi="Arial" w:cs="Arial"/>
        </w:rPr>
        <w:t>are too high</w:t>
      </w:r>
      <w:r w:rsidR="00D77E44">
        <w:rPr>
          <w:rFonts w:ascii="Arial" w:hAnsi="Arial" w:cs="Arial"/>
        </w:rPr>
        <w:t xml:space="preserve">, </w:t>
      </w:r>
      <w:r w:rsidR="001F5AEF">
        <w:rPr>
          <w:rFonts w:ascii="Arial" w:hAnsi="Arial" w:cs="Arial"/>
        </w:rPr>
        <w:t xml:space="preserve">residents </w:t>
      </w:r>
      <w:r w:rsidR="00D77E44">
        <w:rPr>
          <w:rFonts w:ascii="Arial" w:hAnsi="Arial" w:cs="Arial"/>
        </w:rPr>
        <w:t xml:space="preserve">can simply </w:t>
      </w:r>
      <w:r w:rsidR="001F5AEF">
        <w:rPr>
          <w:rFonts w:ascii="Arial" w:hAnsi="Arial" w:cs="Arial"/>
        </w:rPr>
        <w:t>elect to charge their cars elsewhere</w:t>
      </w:r>
      <w:r w:rsidR="00D77E44">
        <w:rPr>
          <w:rFonts w:ascii="Arial" w:hAnsi="Arial" w:cs="Arial"/>
        </w:rPr>
        <w:t xml:space="preserve">.  This will create significant pressure on the </w:t>
      </w:r>
      <w:r w:rsidR="009E6482">
        <w:rPr>
          <w:rFonts w:ascii="Arial" w:hAnsi="Arial" w:cs="Arial"/>
        </w:rPr>
        <w:t xml:space="preserve">EN provider to </w:t>
      </w:r>
      <w:r w:rsidR="00D77E44">
        <w:rPr>
          <w:rFonts w:ascii="Arial" w:hAnsi="Arial" w:cs="Arial"/>
        </w:rPr>
        <w:t>provide reasonable and competitive terms.</w:t>
      </w:r>
    </w:p>
    <w:p w14:paraId="02415F4B" w14:textId="77777777" w:rsidR="00D77E44" w:rsidRDefault="00D77E44" w:rsidP="00243B07">
      <w:pPr>
        <w:jc w:val="both"/>
        <w:rPr>
          <w:rFonts w:ascii="Arial" w:hAnsi="Arial" w:cs="Arial"/>
          <w:b/>
          <w:bCs/>
          <w:color w:val="2F5496" w:themeColor="accent1" w:themeShade="BF"/>
          <w:sz w:val="24"/>
          <w:szCs w:val="24"/>
        </w:rPr>
      </w:pPr>
    </w:p>
    <w:p w14:paraId="3920F14F" w14:textId="0AEEB278" w:rsidR="00243B07" w:rsidRDefault="00243B07" w:rsidP="00243B07">
      <w:pPr>
        <w:jc w:val="both"/>
        <w:rPr>
          <w:rFonts w:ascii="Arial" w:hAnsi="Arial" w:cs="Arial"/>
          <w:b/>
          <w:bCs/>
          <w:color w:val="2F5496" w:themeColor="accent1" w:themeShade="BF"/>
          <w:sz w:val="24"/>
          <w:szCs w:val="24"/>
        </w:rPr>
      </w:pPr>
      <w:r>
        <w:rPr>
          <w:rFonts w:ascii="Arial" w:hAnsi="Arial" w:cs="Arial"/>
          <w:b/>
          <w:bCs/>
          <w:color w:val="2F5496" w:themeColor="accent1" w:themeShade="BF"/>
          <w:sz w:val="24"/>
          <w:szCs w:val="24"/>
        </w:rPr>
        <w:t>Benefits of embedded networks</w:t>
      </w:r>
    </w:p>
    <w:p w14:paraId="38AAABDF" w14:textId="77777777" w:rsidR="00367A76" w:rsidRDefault="1EEE4D7E" w:rsidP="00E4346D">
      <w:pPr>
        <w:rPr>
          <w:rFonts w:ascii="Arial" w:hAnsi="Arial" w:cs="Arial"/>
        </w:rPr>
      </w:pPr>
      <w:r w:rsidRPr="1EEE4D7E">
        <w:rPr>
          <w:rFonts w:ascii="Arial" w:hAnsi="Arial" w:cs="Arial"/>
        </w:rPr>
        <w:t>Embedded network architectures, as well as making buildings cheaper to construct, are a key enabler of EVSE installations</w:t>
      </w:r>
      <w:r w:rsidR="00D77E44">
        <w:rPr>
          <w:rFonts w:ascii="Arial" w:hAnsi="Arial" w:cs="Arial"/>
        </w:rPr>
        <w:t xml:space="preserve"> in apartment complexes</w:t>
      </w:r>
      <w:r w:rsidRPr="1EEE4D7E">
        <w:rPr>
          <w:rFonts w:ascii="Arial" w:hAnsi="Arial" w:cs="Arial"/>
        </w:rPr>
        <w:t>, which are important for Australia to meet its electrification and decarbonisation targets.</w:t>
      </w:r>
      <w:r w:rsidR="00E4346D">
        <w:rPr>
          <w:rFonts w:ascii="Arial" w:hAnsi="Arial" w:cs="Arial"/>
        </w:rPr>
        <w:t xml:space="preserve"> </w:t>
      </w:r>
      <w:r w:rsidRPr="1EEE4D7E">
        <w:rPr>
          <w:rFonts w:ascii="Arial" w:hAnsi="Arial" w:cs="Arial"/>
        </w:rPr>
        <w:t>The reason ENs make it easier</w:t>
      </w:r>
      <w:r w:rsidR="00D77E44">
        <w:rPr>
          <w:rFonts w:ascii="Arial" w:hAnsi="Arial" w:cs="Arial"/>
        </w:rPr>
        <w:t xml:space="preserve"> is that the </w:t>
      </w:r>
      <w:r w:rsidR="00367A76">
        <w:rPr>
          <w:rFonts w:ascii="Arial" w:hAnsi="Arial" w:cs="Arial"/>
        </w:rPr>
        <w:t xml:space="preserve">on-market </w:t>
      </w:r>
      <w:r w:rsidR="00D77E44">
        <w:rPr>
          <w:rFonts w:ascii="Arial" w:hAnsi="Arial" w:cs="Arial"/>
        </w:rPr>
        <w:t>meter at the dwelling is not necessarily a practicable place to supply the EVSE in the car park f</w:t>
      </w:r>
      <w:r w:rsidR="00367A76">
        <w:rPr>
          <w:rFonts w:ascii="Arial" w:hAnsi="Arial" w:cs="Arial"/>
        </w:rPr>
        <w:t>ro</w:t>
      </w:r>
      <w:r w:rsidR="00D77E44">
        <w:rPr>
          <w:rFonts w:ascii="Arial" w:hAnsi="Arial" w:cs="Arial"/>
        </w:rPr>
        <w:t>m,</w:t>
      </w:r>
      <w:r w:rsidR="00367A76">
        <w:rPr>
          <w:rFonts w:ascii="Arial" w:hAnsi="Arial" w:cs="Arial"/>
        </w:rPr>
        <w:t xml:space="preserve"> whereas the common property supply in the building usually will be, and an embedded network architecture is lower cost to deploy.</w:t>
      </w:r>
    </w:p>
    <w:p w14:paraId="79BDB19E" w14:textId="79158652" w:rsidR="00D77908" w:rsidRDefault="006310C9" w:rsidP="00E4346D">
      <w:pPr>
        <w:rPr>
          <w:rFonts w:ascii="Arial" w:hAnsi="Arial" w:cs="Arial"/>
        </w:rPr>
      </w:pPr>
      <w:r>
        <w:br/>
      </w:r>
      <w:r w:rsidR="1EEE4D7E" w:rsidRPr="1EEE4D7E">
        <w:rPr>
          <w:rFonts w:ascii="Arial" w:hAnsi="Arial" w:cs="Arial"/>
        </w:rPr>
        <w:t>It is difficult for owners who live in apartments to invest in the</w:t>
      </w:r>
      <w:r w:rsidR="00367A76">
        <w:rPr>
          <w:rFonts w:ascii="Arial" w:hAnsi="Arial" w:cs="Arial"/>
        </w:rPr>
        <w:t xml:space="preserve"> transition to EVs, </w:t>
      </w:r>
      <w:r w:rsidR="1EEE4D7E" w:rsidRPr="1EEE4D7E">
        <w:rPr>
          <w:rFonts w:ascii="Arial" w:hAnsi="Arial" w:cs="Arial"/>
        </w:rPr>
        <w:t>with extra requirements such as planning approvals, OC surveys, meetings and votes to allow installations.</w:t>
      </w:r>
      <w:r w:rsidR="00E4346D">
        <w:rPr>
          <w:rFonts w:ascii="Arial" w:hAnsi="Arial" w:cs="Arial"/>
        </w:rPr>
        <w:t xml:space="preserve"> </w:t>
      </w:r>
      <w:r w:rsidR="1EEE4D7E" w:rsidRPr="1EEE4D7E">
        <w:rPr>
          <w:rFonts w:ascii="Arial" w:hAnsi="Arial" w:cs="Arial"/>
        </w:rPr>
        <w:t xml:space="preserve">Taking away the simplified structure of an embedded network makes it more difficult and more expensive. </w:t>
      </w:r>
    </w:p>
    <w:p w14:paraId="6302E023" w14:textId="3C0D9023" w:rsidR="0082328A" w:rsidRPr="00320539" w:rsidRDefault="0023039B" w:rsidP="0082328A">
      <w:pPr>
        <w:rPr>
          <w:rFonts w:ascii="Arial" w:hAnsi="Arial" w:cs="Arial"/>
        </w:rPr>
      </w:pPr>
      <w:r w:rsidRPr="00320539">
        <w:rPr>
          <w:rFonts w:ascii="Arial" w:hAnsi="Arial" w:cs="Arial"/>
        </w:rPr>
        <w:t>As mentioned above</w:t>
      </w:r>
      <w:r w:rsidR="00D944C7" w:rsidRPr="00320539">
        <w:rPr>
          <w:rFonts w:ascii="Arial" w:hAnsi="Arial" w:cs="Arial"/>
        </w:rPr>
        <w:t xml:space="preserve">, </w:t>
      </w:r>
      <w:r w:rsidR="00367A76">
        <w:rPr>
          <w:rFonts w:ascii="Arial" w:hAnsi="Arial" w:cs="Arial"/>
        </w:rPr>
        <w:t>the ability to use an embedded network architecture</w:t>
      </w:r>
      <w:r w:rsidR="0082328A" w:rsidRPr="00320539">
        <w:rPr>
          <w:rFonts w:ascii="Arial" w:hAnsi="Arial" w:cs="Arial"/>
        </w:rPr>
        <w:t xml:space="preserve"> </w:t>
      </w:r>
      <w:r w:rsidR="00367A76">
        <w:rPr>
          <w:rFonts w:ascii="Arial" w:hAnsi="Arial" w:cs="Arial"/>
        </w:rPr>
        <w:t>to support EV charging, where it is wholly separable from the dwelling supply, is</w:t>
      </w:r>
      <w:r w:rsidR="0082328A" w:rsidRPr="00320539">
        <w:rPr>
          <w:rFonts w:ascii="Arial" w:hAnsi="Arial" w:cs="Arial"/>
        </w:rPr>
        <w:t xml:space="preserve"> </w:t>
      </w:r>
      <w:r w:rsidR="000677A6" w:rsidRPr="00320539">
        <w:rPr>
          <w:rFonts w:ascii="Arial" w:hAnsi="Arial" w:cs="Arial"/>
        </w:rPr>
        <w:t>likely</w:t>
      </w:r>
      <w:r w:rsidR="0082328A" w:rsidRPr="00320539">
        <w:rPr>
          <w:rFonts w:ascii="Arial" w:hAnsi="Arial" w:cs="Arial"/>
        </w:rPr>
        <w:t xml:space="preserve"> to put downward pressure on </w:t>
      </w:r>
      <w:r w:rsidR="00367A76">
        <w:rPr>
          <w:rFonts w:ascii="Arial" w:hAnsi="Arial" w:cs="Arial"/>
        </w:rPr>
        <w:t>the cost of operating an EV.</w:t>
      </w:r>
    </w:p>
    <w:p w14:paraId="7BCDCFFA" w14:textId="0F7FD230" w:rsidR="1EEE4D7E" w:rsidRPr="00E4346D" w:rsidRDefault="1EEE4D7E" w:rsidP="00E4346D">
      <w:pPr>
        <w:rPr>
          <w:rFonts w:ascii="Arial" w:hAnsi="Arial" w:cs="Arial"/>
        </w:rPr>
      </w:pPr>
      <w:r w:rsidRPr="1EEE4D7E">
        <w:rPr>
          <w:rFonts w:ascii="Arial" w:hAnsi="Arial" w:cs="Arial"/>
        </w:rPr>
        <w:t xml:space="preserve">EV owners able to charge their EVs at home take pressure off the public charging infrastructure.  Unnecessary reliance on the public charging infrastructure will increase the </w:t>
      </w:r>
      <w:r w:rsidR="00367A76">
        <w:rPr>
          <w:rFonts w:ascii="Arial" w:hAnsi="Arial" w:cs="Arial"/>
        </w:rPr>
        <w:t xml:space="preserve">peak demand </w:t>
      </w:r>
      <w:r w:rsidRPr="1EEE4D7E">
        <w:rPr>
          <w:rFonts w:ascii="Arial" w:hAnsi="Arial" w:cs="Arial"/>
        </w:rPr>
        <w:t>burden on the electricity network</w:t>
      </w:r>
      <w:r w:rsidR="00367A76">
        <w:rPr>
          <w:rFonts w:ascii="Arial" w:hAnsi="Arial" w:cs="Arial"/>
        </w:rPr>
        <w:t>, driving up cost</w:t>
      </w:r>
      <w:r w:rsidRPr="1EEE4D7E">
        <w:rPr>
          <w:rFonts w:ascii="Arial" w:hAnsi="Arial" w:cs="Arial"/>
        </w:rPr>
        <w:t xml:space="preserve"> for all consumers. </w:t>
      </w:r>
    </w:p>
    <w:p w14:paraId="7D53FD38" w14:textId="29E36321" w:rsidR="00D77908" w:rsidRDefault="1EEE4D7E" w:rsidP="00D77908">
      <w:pPr>
        <w:rPr>
          <w:rFonts w:ascii="Arial" w:hAnsi="Arial" w:cs="Arial"/>
        </w:rPr>
      </w:pPr>
      <w:r w:rsidRPr="1EEE4D7E">
        <w:rPr>
          <w:rFonts w:ascii="Arial" w:hAnsi="Arial" w:cs="Arial"/>
        </w:rPr>
        <w:t xml:space="preserve">EVSE installed on an EN is a relatively simple architecture and enables active load management.  This is where the EVSE are all part of a </w:t>
      </w:r>
      <w:r w:rsidR="00E4346D" w:rsidRPr="1EEE4D7E">
        <w:rPr>
          <w:rFonts w:ascii="Arial" w:hAnsi="Arial" w:cs="Arial"/>
        </w:rPr>
        <w:t>system,</w:t>
      </w:r>
      <w:r w:rsidRPr="1EEE4D7E">
        <w:rPr>
          <w:rFonts w:ascii="Arial" w:hAnsi="Arial" w:cs="Arial"/>
        </w:rPr>
        <w:t xml:space="preserve"> and the hardware measures the building load with respect to the connection capacity.</w:t>
      </w:r>
      <w:r w:rsidR="00E4346D">
        <w:rPr>
          <w:rFonts w:ascii="Arial" w:hAnsi="Arial" w:cs="Arial"/>
        </w:rPr>
        <w:t xml:space="preserve"> </w:t>
      </w:r>
      <w:r w:rsidRPr="1EEE4D7E">
        <w:rPr>
          <w:rFonts w:ascii="Arial" w:hAnsi="Arial" w:cs="Arial"/>
        </w:rPr>
        <w:t xml:space="preserve">The software orchestrates the EVSE to use the excess capacity, avoiding the consumers main circuit breaker from tripping or the upstream network fuse from blowing. </w:t>
      </w:r>
    </w:p>
    <w:p w14:paraId="2B227EF4" w14:textId="2FE0F70E" w:rsidR="00BB3BB4" w:rsidRDefault="00CB620F" w:rsidP="00CB620F">
      <w:pPr>
        <w:rPr>
          <w:rFonts w:ascii="Arial" w:hAnsi="Arial" w:cs="Arial"/>
        </w:rPr>
      </w:pPr>
      <w:r>
        <w:rPr>
          <w:rFonts w:ascii="Arial" w:hAnsi="Arial" w:cs="Arial"/>
        </w:rPr>
        <w:t xml:space="preserve">                   </w:t>
      </w:r>
      <w:r w:rsidR="005544BF" w:rsidRPr="005544BF">
        <w:rPr>
          <w:rFonts w:ascii="Arial" w:hAnsi="Arial" w:cs="Arial"/>
          <w:noProof/>
        </w:rPr>
        <w:drawing>
          <wp:inline distT="0" distB="0" distL="0" distR="0" wp14:anchorId="6440035D" wp14:editId="00EFDADA">
            <wp:extent cx="3193896" cy="2692129"/>
            <wp:effectExtent l="0" t="0" r="6985" b="0"/>
            <wp:docPr id="502556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56915" name=""/>
                    <pic:cNvPicPr/>
                  </pic:nvPicPr>
                  <pic:blipFill>
                    <a:blip r:embed="rId13"/>
                    <a:stretch>
                      <a:fillRect/>
                    </a:stretch>
                  </pic:blipFill>
                  <pic:spPr>
                    <a:xfrm>
                      <a:off x="0" y="0"/>
                      <a:ext cx="3197358" cy="2695047"/>
                    </a:xfrm>
                    <a:prstGeom prst="rect">
                      <a:avLst/>
                    </a:prstGeom>
                  </pic:spPr>
                </pic:pic>
              </a:graphicData>
            </a:graphic>
          </wp:inline>
        </w:drawing>
      </w:r>
    </w:p>
    <w:p w14:paraId="1C930546" w14:textId="77777777" w:rsidR="005544BF" w:rsidRDefault="005544BF" w:rsidP="00CB620F">
      <w:pPr>
        <w:rPr>
          <w:rFonts w:ascii="Arial" w:hAnsi="Arial" w:cs="Arial"/>
        </w:rPr>
      </w:pPr>
    </w:p>
    <w:p w14:paraId="78A8C2D4" w14:textId="34D375DB" w:rsidR="00D06D5D" w:rsidRPr="009C2F85" w:rsidRDefault="009C2F85" w:rsidP="00D77908">
      <w:pPr>
        <w:rPr>
          <w:rFonts w:ascii="Arial" w:hAnsi="Arial" w:cs="Arial"/>
          <w:b/>
          <w:bCs/>
          <w:color w:val="2F5496" w:themeColor="accent1" w:themeShade="BF"/>
          <w:sz w:val="24"/>
          <w:szCs w:val="24"/>
        </w:rPr>
      </w:pPr>
      <w:r w:rsidRPr="009C2F85">
        <w:rPr>
          <w:rFonts w:ascii="Arial" w:hAnsi="Arial" w:cs="Arial"/>
          <w:b/>
          <w:bCs/>
          <w:color w:val="2F5496" w:themeColor="accent1" w:themeShade="BF"/>
          <w:sz w:val="24"/>
          <w:szCs w:val="24"/>
        </w:rPr>
        <w:lastRenderedPageBreak/>
        <w:t>6.3 Interaction with jurisdictional reviews</w:t>
      </w:r>
    </w:p>
    <w:p w14:paraId="20866461" w14:textId="7E14DBB5" w:rsidR="009C2F85" w:rsidRDefault="00CB0441" w:rsidP="00D77908">
      <w:pPr>
        <w:rPr>
          <w:rFonts w:ascii="Arial" w:hAnsi="Arial" w:cs="Arial"/>
        </w:rPr>
      </w:pPr>
      <w:r>
        <w:rPr>
          <w:rFonts w:ascii="Arial" w:hAnsi="Arial" w:cs="Arial"/>
        </w:rPr>
        <w:t xml:space="preserve">The </w:t>
      </w:r>
      <w:r w:rsidR="0036401E">
        <w:rPr>
          <w:rFonts w:ascii="Arial" w:hAnsi="Arial" w:cs="Arial"/>
        </w:rPr>
        <w:t>Victorian</w:t>
      </w:r>
      <w:r>
        <w:rPr>
          <w:rFonts w:ascii="Arial" w:hAnsi="Arial" w:cs="Arial"/>
        </w:rPr>
        <w:t xml:space="preserve"> </w:t>
      </w:r>
      <w:r w:rsidR="006610E8">
        <w:rPr>
          <w:rFonts w:ascii="Arial" w:hAnsi="Arial" w:cs="Arial"/>
        </w:rPr>
        <w:t>g</w:t>
      </w:r>
      <w:r w:rsidR="0036401E">
        <w:rPr>
          <w:rFonts w:ascii="Arial" w:hAnsi="Arial" w:cs="Arial"/>
        </w:rPr>
        <w:t>overnment</w:t>
      </w:r>
      <w:r>
        <w:rPr>
          <w:rFonts w:ascii="Arial" w:hAnsi="Arial" w:cs="Arial"/>
        </w:rPr>
        <w:t xml:space="preserve"> </w:t>
      </w:r>
      <w:r w:rsidR="00E03537">
        <w:rPr>
          <w:rFonts w:ascii="Arial" w:hAnsi="Arial" w:cs="Arial"/>
        </w:rPr>
        <w:t>published a General Exemption Order</w:t>
      </w:r>
      <w:r w:rsidR="0036401E">
        <w:rPr>
          <w:rStyle w:val="FootnoteReference"/>
          <w:rFonts w:ascii="Arial" w:hAnsi="Arial" w:cs="Arial"/>
        </w:rPr>
        <w:footnoteReference w:id="2"/>
      </w:r>
      <w:r w:rsidR="00E03537">
        <w:rPr>
          <w:rFonts w:ascii="Arial" w:hAnsi="Arial" w:cs="Arial"/>
        </w:rPr>
        <w:t xml:space="preserve"> </w:t>
      </w:r>
      <w:r w:rsidR="007E15D6">
        <w:rPr>
          <w:rFonts w:ascii="Arial" w:hAnsi="Arial" w:cs="Arial"/>
        </w:rPr>
        <w:t xml:space="preserve">in 2022 </w:t>
      </w:r>
      <w:r w:rsidR="009D6B3A">
        <w:rPr>
          <w:rFonts w:ascii="Arial" w:hAnsi="Arial" w:cs="Arial"/>
        </w:rPr>
        <w:t>(</w:t>
      </w:r>
      <w:r w:rsidR="004F78A9">
        <w:rPr>
          <w:rFonts w:ascii="Arial" w:hAnsi="Arial" w:cs="Arial"/>
        </w:rPr>
        <w:t xml:space="preserve">this was missed in Appendix B of the paper) </w:t>
      </w:r>
      <w:r w:rsidR="007E15D6">
        <w:rPr>
          <w:rFonts w:ascii="Arial" w:hAnsi="Arial" w:cs="Arial"/>
        </w:rPr>
        <w:t xml:space="preserve">exempting </w:t>
      </w:r>
      <w:r w:rsidR="00293543">
        <w:rPr>
          <w:rFonts w:ascii="Arial" w:hAnsi="Arial" w:cs="Arial"/>
        </w:rPr>
        <w:t>“A person selling metered or unmetered electricity that is used by the customer to charge an electric vehicle”</w:t>
      </w:r>
      <w:r w:rsidR="005B4E9C">
        <w:rPr>
          <w:rFonts w:ascii="Arial" w:hAnsi="Arial" w:cs="Arial"/>
        </w:rPr>
        <w:t xml:space="preserve"> from retail </w:t>
      </w:r>
      <w:r w:rsidR="00793DA8">
        <w:rPr>
          <w:rFonts w:ascii="Arial" w:hAnsi="Arial" w:cs="Arial"/>
        </w:rPr>
        <w:t>activity.</w:t>
      </w:r>
      <w:r w:rsidR="00367A76">
        <w:rPr>
          <w:rFonts w:ascii="Arial" w:hAnsi="Arial" w:cs="Arial"/>
        </w:rPr>
        <w:t xml:space="preserve">  This effectively provides the position the EVC is advocating that the AER adopt.</w:t>
      </w:r>
    </w:p>
    <w:p w14:paraId="54AF23C7" w14:textId="59E3A2E3" w:rsidR="005214B9" w:rsidRPr="0045059E" w:rsidRDefault="000149C6" w:rsidP="00D77908">
      <w:pPr>
        <w:rPr>
          <w:rFonts w:ascii="Arial" w:hAnsi="Arial" w:cs="Arial"/>
          <w:b/>
          <w:bCs/>
          <w:color w:val="2F5496" w:themeColor="accent1" w:themeShade="BF"/>
          <w:sz w:val="24"/>
          <w:szCs w:val="24"/>
        </w:rPr>
      </w:pPr>
      <w:r w:rsidRPr="0045059E">
        <w:rPr>
          <w:rFonts w:ascii="Arial" w:hAnsi="Arial" w:cs="Arial"/>
          <w:b/>
          <w:bCs/>
          <w:color w:val="2F5496" w:themeColor="accent1" w:themeShade="BF"/>
          <w:sz w:val="24"/>
          <w:szCs w:val="24"/>
        </w:rPr>
        <w:t>7.1.1 Option 1</w:t>
      </w:r>
    </w:p>
    <w:p w14:paraId="0EB95771" w14:textId="77777777" w:rsidR="00367A76" w:rsidRDefault="00E837A2" w:rsidP="0034489A">
      <w:pPr>
        <w:autoSpaceDE w:val="0"/>
        <w:autoSpaceDN w:val="0"/>
        <w:adjustRightInd w:val="0"/>
        <w:spacing w:after="0" w:line="240" w:lineRule="auto"/>
        <w:rPr>
          <w:rFonts w:ascii="Arial" w:hAnsi="Arial" w:cs="Arial"/>
        </w:rPr>
      </w:pPr>
      <w:r>
        <w:rPr>
          <w:rFonts w:ascii="Arial" w:hAnsi="Arial" w:cs="Arial"/>
        </w:rPr>
        <w:t>Dot point 2 states “</w:t>
      </w:r>
      <w:r w:rsidRPr="0034489A">
        <w:rPr>
          <w:rFonts w:ascii="Arial" w:hAnsi="Arial" w:cs="Arial"/>
          <w:kern w:val="0"/>
        </w:rPr>
        <w:t>revise the NR2 registrable network class criteria to capture persons supplying metered or unmetered energy to any residential customers within the limits of a site they own,</w:t>
      </w:r>
      <w:r w:rsidR="0034489A">
        <w:rPr>
          <w:rFonts w:ascii="Arial" w:hAnsi="Arial" w:cs="Arial"/>
          <w:kern w:val="0"/>
        </w:rPr>
        <w:t xml:space="preserve"> </w:t>
      </w:r>
      <w:r w:rsidRPr="0034489A">
        <w:rPr>
          <w:rFonts w:ascii="Arial" w:hAnsi="Arial" w:cs="Arial"/>
          <w:kern w:val="0"/>
        </w:rPr>
        <w:t>operate or control</w:t>
      </w:r>
      <w:r w:rsidR="00DB48E5" w:rsidRPr="0034489A">
        <w:rPr>
          <w:rFonts w:ascii="Arial" w:hAnsi="Arial" w:cs="Arial"/>
          <w:kern w:val="0"/>
        </w:rPr>
        <w:t>.</w:t>
      </w:r>
      <w:r w:rsidR="00E4346D">
        <w:rPr>
          <w:rFonts w:ascii="Arial" w:hAnsi="Arial" w:cs="Arial"/>
        </w:rPr>
        <w:t>”</w:t>
      </w:r>
    </w:p>
    <w:p w14:paraId="2B68D66B" w14:textId="77777777" w:rsidR="00367A76" w:rsidRDefault="00367A76" w:rsidP="0034489A">
      <w:pPr>
        <w:autoSpaceDE w:val="0"/>
        <w:autoSpaceDN w:val="0"/>
        <w:adjustRightInd w:val="0"/>
        <w:spacing w:after="0" w:line="240" w:lineRule="auto"/>
        <w:rPr>
          <w:rFonts w:ascii="Arial" w:hAnsi="Arial" w:cs="Arial"/>
        </w:rPr>
      </w:pPr>
    </w:p>
    <w:p w14:paraId="4FE9EDA4" w14:textId="77777777" w:rsidR="00527B18" w:rsidRDefault="00E4346D" w:rsidP="0034489A">
      <w:pPr>
        <w:autoSpaceDE w:val="0"/>
        <w:autoSpaceDN w:val="0"/>
        <w:adjustRightInd w:val="0"/>
        <w:spacing w:after="0" w:line="240" w:lineRule="auto"/>
        <w:rPr>
          <w:rFonts w:ascii="Arial" w:hAnsi="Arial" w:cs="Arial"/>
        </w:rPr>
      </w:pPr>
      <w:r>
        <w:rPr>
          <w:rFonts w:ascii="Arial" w:hAnsi="Arial" w:cs="Arial"/>
        </w:rPr>
        <w:t>T</w:t>
      </w:r>
      <w:r w:rsidR="00DB48E5">
        <w:rPr>
          <w:rFonts w:ascii="Arial" w:hAnsi="Arial" w:cs="Arial"/>
        </w:rPr>
        <w:t xml:space="preserve">his </w:t>
      </w:r>
      <w:r w:rsidR="00367A76">
        <w:rPr>
          <w:rFonts w:ascii="Arial" w:hAnsi="Arial" w:cs="Arial"/>
        </w:rPr>
        <w:t>c</w:t>
      </w:r>
      <w:r w:rsidR="00DB48E5">
        <w:rPr>
          <w:rFonts w:ascii="Arial" w:hAnsi="Arial" w:cs="Arial"/>
        </w:rPr>
        <w:t>ou</w:t>
      </w:r>
      <w:r w:rsidR="00D05F59">
        <w:rPr>
          <w:rFonts w:ascii="Arial" w:hAnsi="Arial" w:cs="Arial"/>
        </w:rPr>
        <w:t xml:space="preserve">ld </w:t>
      </w:r>
      <w:r w:rsidR="00367A76">
        <w:rPr>
          <w:rFonts w:ascii="Arial" w:hAnsi="Arial" w:cs="Arial"/>
        </w:rPr>
        <w:t xml:space="preserve">be </w:t>
      </w:r>
      <w:r w:rsidR="00527B18">
        <w:rPr>
          <w:rFonts w:ascii="Arial" w:hAnsi="Arial" w:cs="Arial"/>
        </w:rPr>
        <w:t xml:space="preserve">reasonably </w:t>
      </w:r>
      <w:r w:rsidR="00367A76">
        <w:rPr>
          <w:rFonts w:ascii="Arial" w:hAnsi="Arial" w:cs="Arial"/>
        </w:rPr>
        <w:t xml:space="preserve">read as </w:t>
      </w:r>
      <w:r w:rsidR="00D05F59">
        <w:rPr>
          <w:rFonts w:ascii="Arial" w:hAnsi="Arial" w:cs="Arial"/>
        </w:rPr>
        <w:t>includ</w:t>
      </w:r>
      <w:r w:rsidR="00367A76">
        <w:rPr>
          <w:rFonts w:ascii="Arial" w:hAnsi="Arial" w:cs="Arial"/>
        </w:rPr>
        <w:t>ing</w:t>
      </w:r>
      <w:r w:rsidR="00D05F59">
        <w:rPr>
          <w:rFonts w:ascii="Arial" w:hAnsi="Arial" w:cs="Arial"/>
        </w:rPr>
        <w:t xml:space="preserve"> </w:t>
      </w:r>
      <w:r w:rsidR="00527B18">
        <w:rPr>
          <w:rFonts w:ascii="Arial" w:hAnsi="Arial" w:cs="Arial"/>
        </w:rPr>
        <w:t>energy:</w:t>
      </w:r>
    </w:p>
    <w:p w14:paraId="7C06F3A9" w14:textId="48945AFF" w:rsidR="00527B18" w:rsidRDefault="00527B18" w:rsidP="00527B18">
      <w:pPr>
        <w:pStyle w:val="ListParagraph"/>
        <w:numPr>
          <w:ilvl w:val="0"/>
          <w:numId w:val="2"/>
        </w:numPr>
        <w:autoSpaceDE w:val="0"/>
        <w:autoSpaceDN w:val="0"/>
        <w:adjustRightInd w:val="0"/>
        <w:spacing w:after="0" w:line="240" w:lineRule="auto"/>
        <w:rPr>
          <w:rFonts w:ascii="Arial" w:hAnsi="Arial" w:cs="Arial"/>
        </w:rPr>
      </w:pPr>
      <w:r w:rsidRPr="00527B18">
        <w:rPr>
          <w:rFonts w:ascii="Arial" w:hAnsi="Arial" w:cs="Arial"/>
        </w:rPr>
        <w:t xml:space="preserve">supplied by an </w:t>
      </w:r>
      <w:proofErr w:type="gramStart"/>
      <w:r w:rsidRPr="00527B18">
        <w:rPr>
          <w:rFonts w:ascii="Arial" w:hAnsi="Arial" w:cs="Arial"/>
        </w:rPr>
        <w:t>owners</w:t>
      </w:r>
      <w:proofErr w:type="gramEnd"/>
      <w:r w:rsidRPr="00527B18">
        <w:rPr>
          <w:rFonts w:ascii="Arial" w:hAnsi="Arial" w:cs="Arial"/>
        </w:rPr>
        <w:t xml:space="preserve"> corporation to residents</w:t>
      </w:r>
      <w:r>
        <w:rPr>
          <w:rFonts w:ascii="Arial" w:hAnsi="Arial" w:cs="Arial"/>
        </w:rPr>
        <w:t>,</w:t>
      </w:r>
    </w:p>
    <w:p w14:paraId="09562349" w14:textId="77777777" w:rsidR="00527B18" w:rsidRDefault="00527B18" w:rsidP="00527B18">
      <w:pPr>
        <w:pStyle w:val="ListParagraph"/>
        <w:numPr>
          <w:ilvl w:val="0"/>
          <w:numId w:val="2"/>
        </w:numPr>
        <w:autoSpaceDE w:val="0"/>
        <w:autoSpaceDN w:val="0"/>
        <w:adjustRightInd w:val="0"/>
        <w:spacing w:after="0" w:line="240" w:lineRule="auto"/>
        <w:rPr>
          <w:rFonts w:ascii="Arial" w:hAnsi="Arial" w:cs="Arial"/>
        </w:rPr>
      </w:pPr>
      <w:r w:rsidRPr="00527B18">
        <w:rPr>
          <w:rFonts w:ascii="Arial" w:hAnsi="Arial" w:cs="Arial"/>
        </w:rPr>
        <w:t xml:space="preserve">for the purpose of EV charging within the bounds of </w:t>
      </w:r>
      <w:r w:rsidR="00367A76" w:rsidRPr="00527B18">
        <w:rPr>
          <w:rFonts w:ascii="Arial" w:hAnsi="Arial" w:cs="Arial"/>
        </w:rPr>
        <w:t xml:space="preserve">an apartment complex, </w:t>
      </w:r>
    </w:p>
    <w:p w14:paraId="10F233AE" w14:textId="78B66BE5" w:rsidR="00527B18" w:rsidRPr="00527B18" w:rsidRDefault="00367A76" w:rsidP="00527B18">
      <w:pPr>
        <w:pStyle w:val="ListParagraph"/>
        <w:numPr>
          <w:ilvl w:val="0"/>
          <w:numId w:val="2"/>
        </w:numPr>
        <w:autoSpaceDE w:val="0"/>
        <w:autoSpaceDN w:val="0"/>
        <w:adjustRightInd w:val="0"/>
        <w:spacing w:after="0" w:line="240" w:lineRule="auto"/>
        <w:rPr>
          <w:rFonts w:ascii="Arial" w:hAnsi="Arial" w:cs="Arial"/>
        </w:rPr>
      </w:pPr>
      <w:r w:rsidRPr="00527B18">
        <w:rPr>
          <w:rFonts w:ascii="Arial" w:hAnsi="Arial" w:cs="Arial"/>
        </w:rPr>
        <w:t xml:space="preserve">where the supply to the EVSE is wholly separable from the supply to the dwelling.  </w:t>
      </w:r>
    </w:p>
    <w:p w14:paraId="63023B29" w14:textId="77777777" w:rsidR="00527B18" w:rsidRDefault="00527B18" w:rsidP="0034489A">
      <w:pPr>
        <w:autoSpaceDE w:val="0"/>
        <w:autoSpaceDN w:val="0"/>
        <w:adjustRightInd w:val="0"/>
        <w:spacing w:after="0" w:line="240" w:lineRule="auto"/>
        <w:rPr>
          <w:rFonts w:ascii="Arial" w:hAnsi="Arial" w:cs="Arial"/>
        </w:rPr>
      </w:pPr>
    </w:p>
    <w:p w14:paraId="2DF59FAF" w14:textId="7FBBAC2D" w:rsidR="00D06D5D" w:rsidRPr="0034489A" w:rsidRDefault="00367A76" w:rsidP="0034489A">
      <w:pPr>
        <w:autoSpaceDE w:val="0"/>
        <w:autoSpaceDN w:val="0"/>
        <w:adjustRightInd w:val="0"/>
        <w:spacing w:after="0" w:line="240" w:lineRule="auto"/>
        <w:rPr>
          <w:rFonts w:ascii="Arial" w:hAnsi="Arial" w:cs="Arial"/>
          <w:kern w:val="0"/>
        </w:rPr>
      </w:pPr>
      <w:r>
        <w:rPr>
          <w:rFonts w:ascii="Arial" w:hAnsi="Arial" w:cs="Arial"/>
        </w:rPr>
        <w:t xml:space="preserve">This </w:t>
      </w:r>
      <w:r w:rsidR="00527B18">
        <w:rPr>
          <w:rFonts w:ascii="Arial" w:hAnsi="Arial" w:cs="Arial"/>
        </w:rPr>
        <w:t>is</w:t>
      </w:r>
      <w:r>
        <w:rPr>
          <w:rFonts w:ascii="Arial" w:hAnsi="Arial" w:cs="Arial"/>
        </w:rPr>
        <w:t xml:space="preserve"> the opposite of the outcome we’re seeking.</w:t>
      </w:r>
      <w:r w:rsidR="00527B18">
        <w:rPr>
          <w:rFonts w:ascii="Arial" w:hAnsi="Arial" w:cs="Arial"/>
        </w:rPr>
        <w:t xml:space="preserve"> Revision to NR2 (if any) should include consideration of the enablement of owner’s corporations and their appointed parties to supply energy for EV charging via embedded network architectures as an exempted activity.</w:t>
      </w:r>
      <w:r w:rsidR="00161123">
        <w:rPr>
          <w:rFonts w:ascii="Arial" w:hAnsi="Arial" w:cs="Arial"/>
          <w:kern w:val="0"/>
        </w:rPr>
        <w:br/>
      </w:r>
      <w:r w:rsidR="00161123">
        <w:rPr>
          <w:rFonts w:ascii="Arial" w:hAnsi="Arial" w:cs="Arial"/>
          <w:kern w:val="0"/>
        </w:rPr>
        <w:br/>
      </w:r>
      <w:r w:rsidR="00AB4FBE" w:rsidRPr="0045059E">
        <w:rPr>
          <w:rFonts w:ascii="Arial" w:hAnsi="Arial" w:cs="Arial"/>
          <w:b/>
          <w:bCs/>
          <w:color w:val="2F5496" w:themeColor="accent1" w:themeShade="BF"/>
          <w:sz w:val="24"/>
          <w:szCs w:val="24"/>
        </w:rPr>
        <w:t>8.1.1</w:t>
      </w:r>
      <w:r w:rsidR="008A066F" w:rsidRPr="0045059E">
        <w:rPr>
          <w:rFonts w:ascii="Arial" w:hAnsi="Arial" w:cs="Arial"/>
          <w:b/>
          <w:bCs/>
          <w:color w:val="2F5496" w:themeColor="accent1" w:themeShade="BF"/>
          <w:sz w:val="24"/>
          <w:szCs w:val="24"/>
        </w:rPr>
        <w:t xml:space="preserve"> Option 5</w:t>
      </w:r>
      <w:r w:rsidR="00161123">
        <w:rPr>
          <w:rFonts w:ascii="Arial" w:hAnsi="Arial" w:cs="Arial"/>
          <w:b/>
          <w:bCs/>
          <w:color w:val="2F5496" w:themeColor="accent1" w:themeShade="BF"/>
          <w:sz w:val="24"/>
          <w:szCs w:val="24"/>
        </w:rPr>
        <w:br/>
      </w:r>
    </w:p>
    <w:p w14:paraId="19051FC8" w14:textId="77777777" w:rsidR="00527B18" w:rsidRDefault="00137ED6" w:rsidP="006A4887">
      <w:pPr>
        <w:rPr>
          <w:rFonts w:ascii="Arial" w:hAnsi="Arial" w:cs="Arial"/>
        </w:rPr>
      </w:pPr>
      <w:r>
        <w:rPr>
          <w:rFonts w:ascii="Arial" w:hAnsi="Arial" w:cs="Arial"/>
        </w:rPr>
        <w:t xml:space="preserve">Paragraph 5 states </w:t>
      </w:r>
      <w:r w:rsidRPr="00161123">
        <w:rPr>
          <w:rFonts w:ascii="Arial" w:hAnsi="Arial" w:cs="Arial"/>
        </w:rPr>
        <w:t>“</w:t>
      </w:r>
      <w:r w:rsidRPr="00161123">
        <w:rPr>
          <w:rFonts w:ascii="Arial" w:hAnsi="Arial" w:cs="Arial"/>
          <w:kern w:val="0"/>
        </w:rPr>
        <w:t xml:space="preserve">We could require exempt sellers who on-sell energy to residential customers to routinely report performance data based on </w:t>
      </w:r>
      <w:r w:rsidR="00161123" w:rsidRPr="00161123">
        <w:rPr>
          <w:rFonts w:ascii="Arial" w:hAnsi="Arial" w:cs="Arial"/>
          <w:kern w:val="0"/>
        </w:rPr>
        <w:t>indicators.</w:t>
      </w:r>
      <w:r w:rsidR="00E4346D">
        <w:rPr>
          <w:rFonts w:ascii="Arial" w:hAnsi="Arial" w:cs="Arial"/>
        </w:rPr>
        <w:t>”</w:t>
      </w:r>
    </w:p>
    <w:p w14:paraId="3574898A" w14:textId="74A0FC2B" w:rsidR="006A4887" w:rsidRDefault="006A4887" w:rsidP="006A4887">
      <w:pPr>
        <w:rPr>
          <w:rFonts w:ascii="Arial" w:hAnsi="Arial" w:cs="Arial"/>
        </w:rPr>
      </w:pPr>
      <w:r w:rsidRPr="006A4887">
        <w:rPr>
          <w:rFonts w:ascii="Arial" w:hAnsi="Arial" w:cs="Arial"/>
        </w:rPr>
        <w:t>We note that the V</w:t>
      </w:r>
      <w:r w:rsidR="00E4346D">
        <w:rPr>
          <w:rFonts w:ascii="Arial" w:hAnsi="Arial" w:cs="Arial"/>
        </w:rPr>
        <w:t>ictorian</w:t>
      </w:r>
      <w:r w:rsidRPr="006A4887">
        <w:rPr>
          <w:rFonts w:ascii="Arial" w:hAnsi="Arial" w:cs="Arial"/>
        </w:rPr>
        <w:t xml:space="preserve"> </w:t>
      </w:r>
      <w:r w:rsidR="00E4346D">
        <w:rPr>
          <w:rFonts w:ascii="Arial" w:hAnsi="Arial" w:cs="Arial"/>
        </w:rPr>
        <w:t>G</w:t>
      </w:r>
      <w:r w:rsidRPr="006A4887">
        <w:rPr>
          <w:rFonts w:ascii="Arial" w:hAnsi="Arial" w:cs="Arial"/>
        </w:rPr>
        <w:t>ov</w:t>
      </w:r>
      <w:r w:rsidR="006B389A">
        <w:rPr>
          <w:rFonts w:ascii="Arial" w:hAnsi="Arial" w:cs="Arial"/>
        </w:rPr>
        <w:t>ernmen</w:t>
      </w:r>
      <w:r w:rsidRPr="006A4887">
        <w:rPr>
          <w:rFonts w:ascii="Arial" w:hAnsi="Arial" w:cs="Arial"/>
        </w:rPr>
        <w:t>t</w:t>
      </w:r>
      <w:r w:rsidR="00E4346D">
        <w:rPr>
          <w:rFonts w:ascii="Arial" w:hAnsi="Arial" w:cs="Arial"/>
        </w:rPr>
        <w:t>’s</w:t>
      </w:r>
      <w:r w:rsidRPr="006A4887">
        <w:rPr>
          <w:rFonts w:ascii="Arial" w:hAnsi="Arial" w:cs="Arial"/>
        </w:rPr>
        <w:t xml:space="preserve"> G</w:t>
      </w:r>
      <w:r w:rsidR="004D4215">
        <w:rPr>
          <w:rFonts w:ascii="Arial" w:hAnsi="Arial" w:cs="Arial"/>
        </w:rPr>
        <w:t xml:space="preserve">eneral </w:t>
      </w:r>
      <w:r w:rsidRPr="006A4887">
        <w:rPr>
          <w:rFonts w:ascii="Arial" w:hAnsi="Arial" w:cs="Arial"/>
        </w:rPr>
        <w:t>E</w:t>
      </w:r>
      <w:r w:rsidR="004D4215">
        <w:rPr>
          <w:rFonts w:ascii="Arial" w:hAnsi="Arial" w:cs="Arial"/>
        </w:rPr>
        <w:t xml:space="preserve">xemption </w:t>
      </w:r>
      <w:r w:rsidRPr="006A4887">
        <w:rPr>
          <w:rFonts w:ascii="Arial" w:hAnsi="Arial" w:cs="Arial"/>
        </w:rPr>
        <w:t>O</w:t>
      </w:r>
      <w:r w:rsidR="004D4215">
        <w:rPr>
          <w:rFonts w:ascii="Arial" w:hAnsi="Arial" w:cs="Arial"/>
        </w:rPr>
        <w:t>rder (GEO)</w:t>
      </w:r>
      <w:r w:rsidRPr="006A4887">
        <w:rPr>
          <w:rFonts w:ascii="Arial" w:hAnsi="Arial" w:cs="Arial"/>
        </w:rPr>
        <w:t xml:space="preserve"> on this issue sets a data reporting requirement on parties acting under the VD8, in 12.2.d.ii, and that industry feedback to the department is that this measure is likely to prove impractical to effectively enforce.</w:t>
      </w:r>
      <w:r w:rsidR="00E4346D">
        <w:rPr>
          <w:rFonts w:ascii="Arial" w:hAnsi="Arial" w:cs="Arial"/>
        </w:rPr>
        <w:t xml:space="preserve"> </w:t>
      </w:r>
      <w:r w:rsidR="0064165B">
        <w:rPr>
          <w:rFonts w:ascii="Arial" w:hAnsi="Arial" w:cs="Arial"/>
        </w:rPr>
        <w:t xml:space="preserve">Some manufacturers are not </w:t>
      </w:r>
      <w:r w:rsidR="009B2D38">
        <w:rPr>
          <w:rFonts w:ascii="Arial" w:hAnsi="Arial" w:cs="Arial"/>
        </w:rPr>
        <w:t>currently collecting some of the data being requested and therefore will be unable to provide it.</w:t>
      </w:r>
    </w:p>
    <w:p w14:paraId="40F6618B" w14:textId="6158E950" w:rsidR="00527B18" w:rsidRDefault="00527B18" w:rsidP="006A4887">
      <w:pPr>
        <w:rPr>
          <w:rFonts w:ascii="Arial" w:hAnsi="Arial" w:cs="Arial"/>
        </w:rPr>
      </w:pPr>
      <w:r>
        <w:rPr>
          <w:rFonts w:ascii="Arial" w:hAnsi="Arial" w:cs="Arial"/>
        </w:rPr>
        <w:t>Any data reporting requirement of this nature should be co-designed by the regulator and industry, with input from all relevant stakeholders.</w:t>
      </w:r>
    </w:p>
    <w:p w14:paraId="225D8DE0" w14:textId="444BC7DF" w:rsidR="00934FE6" w:rsidRPr="00C24665" w:rsidRDefault="00C362D9" w:rsidP="006A4887">
      <w:pPr>
        <w:rPr>
          <w:rFonts w:ascii="Arial" w:hAnsi="Arial" w:cs="Arial"/>
          <w:b/>
          <w:bCs/>
          <w:color w:val="2F5496" w:themeColor="accent1" w:themeShade="BF"/>
          <w:sz w:val="24"/>
          <w:szCs w:val="24"/>
        </w:rPr>
      </w:pPr>
      <w:r w:rsidRPr="00C24665">
        <w:rPr>
          <w:rFonts w:ascii="Arial" w:hAnsi="Arial" w:cs="Arial"/>
          <w:b/>
          <w:bCs/>
          <w:color w:val="2F5496" w:themeColor="accent1" w:themeShade="BF"/>
          <w:sz w:val="24"/>
          <w:szCs w:val="24"/>
        </w:rPr>
        <w:t>8.2 Family violence obligations</w:t>
      </w:r>
    </w:p>
    <w:p w14:paraId="7E31BE1D" w14:textId="20C0B251" w:rsidR="006F502D" w:rsidRDefault="1EEE4D7E" w:rsidP="006A4887">
      <w:pPr>
        <w:rPr>
          <w:rFonts w:ascii="Arial" w:hAnsi="Arial" w:cs="Arial"/>
        </w:rPr>
      </w:pPr>
      <w:r w:rsidRPr="1EEE4D7E">
        <w:rPr>
          <w:rFonts w:ascii="Arial" w:hAnsi="Arial" w:cs="Arial"/>
        </w:rPr>
        <w:t>For the reasons stated above, energy to vehicles is not monopolistic and not considered essential, therefore energy for EV charging in an EN, where it is wholly separable from energy supplied to the dwelling, should be exempted from having to develop, implement and comply with a family violence policy.</w:t>
      </w:r>
    </w:p>
    <w:p w14:paraId="52372874" w14:textId="52CD4148" w:rsidR="008A066F" w:rsidRPr="00137ED6" w:rsidRDefault="008A066F" w:rsidP="00137ED6">
      <w:pPr>
        <w:autoSpaceDE w:val="0"/>
        <w:autoSpaceDN w:val="0"/>
        <w:adjustRightInd w:val="0"/>
        <w:spacing w:after="0" w:line="240" w:lineRule="auto"/>
        <w:rPr>
          <w:rFonts w:ascii="CIDFont+F1" w:hAnsi="CIDFont+F1" w:cs="CIDFont+F1"/>
          <w:kern w:val="0"/>
          <w:sz w:val="21"/>
          <w:szCs w:val="21"/>
        </w:rPr>
      </w:pPr>
    </w:p>
    <w:p w14:paraId="4BF40840" w14:textId="77777777" w:rsidR="001773F2" w:rsidRDefault="001773F2" w:rsidP="00395B90">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Recommendations</w:t>
      </w:r>
    </w:p>
    <w:p w14:paraId="0E97BDF0" w14:textId="52CD1EA4" w:rsidR="00527B18" w:rsidRDefault="00631136" w:rsidP="00E4346D">
      <w:pPr>
        <w:pStyle w:val="Default"/>
        <w:spacing w:line="276" w:lineRule="auto"/>
        <w:rPr>
          <w:sz w:val="22"/>
          <w:szCs w:val="22"/>
        </w:rPr>
      </w:pPr>
      <w:r w:rsidRPr="00654F78">
        <w:rPr>
          <w:sz w:val="22"/>
          <w:szCs w:val="22"/>
        </w:rPr>
        <w:t xml:space="preserve">The EVC would recommend that an exemption class should be created related to the supply of electricity for the purpose of charging electric vehicles, in circumstances where the supply of energy to the vehicle is wholly financially separable from the supply of energy for a </w:t>
      </w:r>
      <w:r w:rsidR="005721EF" w:rsidRPr="00654F78">
        <w:rPr>
          <w:sz w:val="22"/>
          <w:szCs w:val="22"/>
        </w:rPr>
        <w:t>premises.</w:t>
      </w:r>
    </w:p>
    <w:p w14:paraId="7FA22C02" w14:textId="77777777" w:rsidR="00527B18" w:rsidRDefault="00527B18" w:rsidP="00E4346D">
      <w:pPr>
        <w:pStyle w:val="Default"/>
        <w:spacing w:line="276" w:lineRule="auto"/>
        <w:rPr>
          <w:sz w:val="22"/>
          <w:szCs w:val="22"/>
        </w:rPr>
      </w:pPr>
    </w:p>
    <w:p w14:paraId="5FC99954" w14:textId="77777777" w:rsidR="00527B18" w:rsidRDefault="00631136" w:rsidP="00E4346D">
      <w:pPr>
        <w:pStyle w:val="Default"/>
        <w:spacing w:line="276" w:lineRule="auto"/>
        <w:rPr>
          <w:sz w:val="22"/>
          <w:szCs w:val="22"/>
        </w:rPr>
      </w:pPr>
      <w:r w:rsidRPr="00654F78">
        <w:rPr>
          <w:sz w:val="22"/>
          <w:szCs w:val="22"/>
        </w:rPr>
        <w:t xml:space="preserve">The creation of an exemption along these lines would </w:t>
      </w:r>
      <w:r w:rsidR="00527B18">
        <w:rPr>
          <w:sz w:val="22"/>
          <w:szCs w:val="22"/>
        </w:rPr>
        <w:t>align with</w:t>
      </w:r>
      <w:r w:rsidRPr="00654F78">
        <w:rPr>
          <w:sz w:val="22"/>
          <w:szCs w:val="22"/>
        </w:rPr>
        <w:t xml:space="preserve"> the existing state of regulation.</w:t>
      </w:r>
      <w:r w:rsidR="00E4346D">
        <w:rPr>
          <w:sz w:val="22"/>
          <w:szCs w:val="22"/>
        </w:rPr>
        <w:t xml:space="preserve"> </w:t>
      </w:r>
      <w:r w:rsidRPr="00654F78">
        <w:rPr>
          <w:sz w:val="22"/>
          <w:szCs w:val="22"/>
        </w:rPr>
        <w:t xml:space="preserve">This is appropriate for an established service, where no evidence of regulatory </w:t>
      </w:r>
      <w:r w:rsidRPr="00654F78">
        <w:rPr>
          <w:sz w:val="22"/>
          <w:szCs w:val="22"/>
        </w:rPr>
        <w:lastRenderedPageBreak/>
        <w:t>failure has been provided, under circumstances where it is reasonable to expect that such failure would be identified e</w:t>
      </w:r>
      <w:r w:rsidR="00E4346D">
        <w:rPr>
          <w:sz w:val="22"/>
          <w:szCs w:val="22"/>
        </w:rPr>
        <w:t>.</w:t>
      </w:r>
      <w:r w:rsidRPr="00654F78">
        <w:rPr>
          <w:sz w:val="22"/>
          <w:szCs w:val="22"/>
        </w:rPr>
        <w:t>g</w:t>
      </w:r>
      <w:r w:rsidR="005B6869" w:rsidRPr="00654F78">
        <w:rPr>
          <w:sz w:val="22"/>
          <w:szCs w:val="22"/>
        </w:rPr>
        <w:t>.</w:t>
      </w:r>
      <w:r w:rsidR="00E4346D">
        <w:rPr>
          <w:sz w:val="22"/>
          <w:szCs w:val="22"/>
        </w:rPr>
        <w:t>,</w:t>
      </w:r>
      <w:r w:rsidRPr="00654F78">
        <w:rPr>
          <w:sz w:val="22"/>
          <w:szCs w:val="22"/>
        </w:rPr>
        <w:t xml:space="preserve"> through existing ombudsman schemes.</w:t>
      </w:r>
    </w:p>
    <w:p w14:paraId="714F4B04" w14:textId="77777777" w:rsidR="00527B18" w:rsidRDefault="00527B18" w:rsidP="00E4346D">
      <w:pPr>
        <w:pStyle w:val="Default"/>
        <w:spacing w:line="276" w:lineRule="auto"/>
        <w:rPr>
          <w:sz w:val="22"/>
          <w:szCs w:val="22"/>
        </w:rPr>
      </w:pPr>
    </w:p>
    <w:p w14:paraId="0EC6F344" w14:textId="221D5B96" w:rsidR="001773F2" w:rsidRDefault="00631136" w:rsidP="005721EF">
      <w:pPr>
        <w:pStyle w:val="Default"/>
        <w:spacing w:line="276" w:lineRule="auto"/>
        <w:rPr>
          <w:sz w:val="22"/>
          <w:szCs w:val="22"/>
        </w:rPr>
      </w:pPr>
      <w:r w:rsidRPr="00654F78">
        <w:rPr>
          <w:sz w:val="22"/>
          <w:szCs w:val="22"/>
        </w:rPr>
        <w:t xml:space="preserve">This is also effectively the approach that the Victorian Essential Services Commission has re-confirmed under the new General Exemption Order under the </w:t>
      </w:r>
      <w:r w:rsidRPr="00654F78">
        <w:rPr>
          <w:i/>
          <w:iCs/>
          <w:sz w:val="22"/>
          <w:szCs w:val="22"/>
        </w:rPr>
        <w:t xml:space="preserve">Electricity Industry Act 2000 </w:t>
      </w:r>
      <w:r w:rsidRPr="00654F78">
        <w:rPr>
          <w:sz w:val="22"/>
          <w:szCs w:val="22"/>
        </w:rPr>
        <w:t>(V</w:t>
      </w:r>
      <w:r w:rsidR="00E4346D">
        <w:rPr>
          <w:sz w:val="22"/>
          <w:szCs w:val="22"/>
        </w:rPr>
        <w:t>IC</w:t>
      </w:r>
      <w:r w:rsidRPr="00654F78">
        <w:rPr>
          <w:sz w:val="22"/>
          <w:szCs w:val="22"/>
        </w:rPr>
        <w:t>) which came into force on 1 January 2023, confirming that no energy retail licence is required for the sale of electricity used to charge a vehicle.</w:t>
      </w:r>
    </w:p>
    <w:p w14:paraId="0D4120F9" w14:textId="77777777" w:rsidR="005721EF" w:rsidRPr="005721EF" w:rsidRDefault="005721EF" w:rsidP="005721EF">
      <w:pPr>
        <w:pStyle w:val="Default"/>
        <w:spacing w:line="276" w:lineRule="auto"/>
        <w:rPr>
          <w:sz w:val="22"/>
          <w:szCs w:val="22"/>
        </w:rPr>
      </w:pPr>
    </w:p>
    <w:p w14:paraId="1A26533E" w14:textId="6BED6EF7" w:rsidR="00D77908" w:rsidRPr="00395B90" w:rsidRDefault="00D77908" w:rsidP="00395B90">
      <w:pPr>
        <w:rPr>
          <w:rFonts w:ascii="Arial" w:hAnsi="Arial" w:cs="Arial"/>
          <w:b/>
          <w:bCs/>
          <w:color w:val="4472C4" w:themeColor="accent1"/>
          <w:sz w:val="24"/>
          <w:szCs w:val="24"/>
        </w:rPr>
      </w:pPr>
      <w:r w:rsidRPr="00395B90">
        <w:rPr>
          <w:rFonts w:ascii="Arial" w:hAnsi="Arial" w:cs="Arial"/>
          <w:b/>
          <w:bCs/>
          <w:color w:val="2F5496" w:themeColor="accent1" w:themeShade="BF"/>
          <w:sz w:val="24"/>
          <w:szCs w:val="24"/>
        </w:rPr>
        <w:t>Conclusion</w:t>
      </w:r>
    </w:p>
    <w:p w14:paraId="366D1C63" w14:textId="77777777" w:rsidR="00527B18" w:rsidRDefault="1EEE4D7E" w:rsidP="00E4346D">
      <w:pPr>
        <w:spacing w:line="276" w:lineRule="auto"/>
        <w:rPr>
          <w:rFonts w:ascii="Arial" w:hAnsi="Arial" w:cs="Arial"/>
        </w:rPr>
      </w:pPr>
      <w:r w:rsidRPr="1EEE4D7E">
        <w:rPr>
          <w:rFonts w:ascii="Arial" w:hAnsi="Arial" w:cs="Arial"/>
        </w:rPr>
        <w:t>One of the AER’s strategic objectives is to support the energy transition.</w:t>
      </w:r>
      <w:r>
        <w:t xml:space="preserve"> </w:t>
      </w:r>
      <w:r w:rsidRPr="1EEE4D7E">
        <w:rPr>
          <w:rFonts w:ascii="Arial" w:hAnsi="Arial" w:cs="Arial"/>
        </w:rPr>
        <w:t>In areas that affect the energy transition, particularly nascent industries, regulators should de-regulate where they can and regulate only where they must.</w:t>
      </w:r>
    </w:p>
    <w:p w14:paraId="59813554" w14:textId="77777777" w:rsidR="00527B18" w:rsidRDefault="1EEE4D7E" w:rsidP="00E4346D">
      <w:pPr>
        <w:spacing w:line="276" w:lineRule="auto"/>
        <w:rPr>
          <w:rFonts w:ascii="Arial" w:hAnsi="Arial" w:cs="Arial"/>
        </w:rPr>
      </w:pPr>
      <w:r w:rsidRPr="1EEE4D7E">
        <w:rPr>
          <w:rFonts w:ascii="Arial" w:hAnsi="Arial" w:cs="Arial"/>
        </w:rPr>
        <w:t xml:space="preserve">Any extension of regulatory power should be supported by robust evidence and regulatory impact statements, so as not to unnecessarily </w:t>
      </w:r>
      <w:proofErr w:type="gramStart"/>
      <w:r w:rsidRPr="1EEE4D7E">
        <w:rPr>
          <w:rFonts w:ascii="Arial" w:hAnsi="Arial" w:cs="Arial"/>
        </w:rPr>
        <w:t>drive up</w:t>
      </w:r>
      <w:proofErr w:type="gramEnd"/>
      <w:r w:rsidRPr="1EEE4D7E">
        <w:rPr>
          <w:rFonts w:ascii="Arial" w:hAnsi="Arial" w:cs="Arial"/>
        </w:rPr>
        <w:t xml:space="preserve"> costs to society through increased regulatory burden and delayed EV uptake.</w:t>
      </w:r>
    </w:p>
    <w:p w14:paraId="4B543BC7" w14:textId="392D9F3C" w:rsidR="00D77908" w:rsidRDefault="1EEE4D7E" w:rsidP="00E4346D">
      <w:pPr>
        <w:spacing w:line="276" w:lineRule="auto"/>
        <w:rPr>
          <w:rFonts w:ascii="Arial" w:hAnsi="Arial" w:cs="Arial"/>
        </w:rPr>
      </w:pPr>
      <w:r w:rsidRPr="1EEE4D7E">
        <w:rPr>
          <w:rFonts w:ascii="Arial" w:hAnsi="Arial" w:cs="Arial"/>
        </w:rPr>
        <w:t>This is not just about EV uptake or renewable energy uptake</w:t>
      </w:r>
      <w:r w:rsidR="00527B18">
        <w:rPr>
          <w:rFonts w:ascii="Arial" w:hAnsi="Arial" w:cs="Arial"/>
        </w:rPr>
        <w:t xml:space="preserve"> - </w:t>
      </w:r>
      <w:r w:rsidRPr="1EEE4D7E">
        <w:rPr>
          <w:rFonts w:ascii="Arial" w:hAnsi="Arial" w:cs="Arial"/>
        </w:rPr>
        <w:t xml:space="preserve">we </w:t>
      </w:r>
      <w:r w:rsidR="00527B18">
        <w:rPr>
          <w:rFonts w:ascii="Arial" w:hAnsi="Arial" w:cs="Arial"/>
        </w:rPr>
        <w:t xml:space="preserve">also </w:t>
      </w:r>
      <w:r w:rsidRPr="1EEE4D7E">
        <w:rPr>
          <w:rFonts w:ascii="Arial" w:hAnsi="Arial" w:cs="Arial"/>
        </w:rPr>
        <w:t>want people to take up residence in high density accommodation</w:t>
      </w:r>
      <w:r w:rsidR="00527B18">
        <w:rPr>
          <w:rFonts w:ascii="Arial" w:hAnsi="Arial" w:cs="Arial"/>
        </w:rPr>
        <w:t>, as part of solving our current housing crisis</w:t>
      </w:r>
      <w:r w:rsidRPr="1EEE4D7E">
        <w:rPr>
          <w:rFonts w:ascii="Arial" w:hAnsi="Arial" w:cs="Arial"/>
        </w:rPr>
        <w:t xml:space="preserve">. </w:t>
      </w:r>
    </w:p>
    <w:p w14:paraId="319C56A2" w14:textId="77777777" w:rsidR="00527B18" w:rsidRDefault="00A85035" w:rsidP="00E4346D">
      <w:pPr>
        <w:spacing w:line="276" w:lineRule="auto"/>
        <w:rPr>
          <w:rFonts w:ascii="Arial" w:hAnsi="Arial" w:cs="Arial"/>
        </w:rPr>
      </w:pPr>
      <w:r>
        <w:rPr>
          <w:rFonts w:ascii="Arial" w:hAnsi="Arial" w:cs="Arial"/>
        </w:rPr>
        <w:t xml:space="preserve">The EVC is </w:t>
      </w:r>
      <w:r w:rsidR="00200CB2">
        <w:rPr>
          <w:rFonts w:ascii="Arial" w:hAnsi="Arial" w:cs="Arial"/>
        </w:rPr>
        <w:t xml:space="preserve">keen to </w:t>
      </w:r>
      <w:r w:rsidR="00D27DB4">
        <w:rPr>
          <w:rFonts w:ascii="Arial" w:hAnsi="Arial" w:cs="Arial"/>
        </w:rPr>
        <w:t>work with the AER on this important reform</w:t>
      </w:r>
      <w:r w:rsidR="00527B18">
        <w:rPr>
          <w:rFonts w:ascii="Arial" w:hAnsi="Arial" w:cs="Arial"/>
        </w:rPr>
        <w:t>.</w:t>
      </w:r>
    </w:p>
    <w:p w14:paraId="053F0879" w14:textId="080136B4" w:rsidR="00A85035" w:rsidRDefault="00325466" w:rsidP="00E4346D">
      <w:pPr>
        <w:spacing w:line="276" w:lineRule="auto"/>
        <w:rPr>
          <w:rFonts w:ascii="Arial" w:hAnsi="Arial" w:cs="Arial"/>
        </w:rPr>
      </w:pPr>
      <w:r>
        <w:rPr>
          <w:rFonts w:ascii="Arial" w:hAnsi="Arial" w:cs="Arial"/>
        </w:rPr>
        <w:t xml:space="preserve">Please contact Umair Afzal </w:t>
      </w:r>
      <w:r w:rsidR="00252627">
        <w:rPr>
          <w:rFonts w:ascii="Arial" w:hAnsi="Arial" w:cs="Arial"/>
        </w:rPr>
        <w:t xml:space="preserve">at </w:t>
      </w:r>
      <w:hyperlink r:id="rId14" w:history="1">
        <w:r w:rsidR="0003386A" w:rsidRPr="00437EC8">
          <w:rPr>
            <w:rStyle w:val="Hyperlink"/>
            <w:rFonts w:ascii="Arial" w:hAnsi="Arial" w:cs="Arial"/>
          </w:rPr>
          <w:t>umair@evc.org.au</w:t>
        </w:r>
      </w:hyperlink>
    </w:p>
    <w:p w14:paraId="4E826406" w14:textId="77777777" w:rsidR="0003386A" w:rsidRDefault="0003386A" w:rsidP="00D77908">
      <w:pPr>
        <w:rPr>
          <w:rFonts w:ascii="Arial" w:hAnsi="Arial" w:cs="Arial"/>
        </w:rPr>
      </w:pPr>
    </w:p>
    <w:p w14:paraId="51A51A1A" w14:textId="77777777" w:rsidR="00D77908" w:rsidRDefault="00D77908"/>
    <w:sectPr w:rsidR="00D779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932A" w14:textId="77777777" w:rsidR="002B6C5F" w:rsidRDefault="002B6C5F" w:rsidP="00D77908">
      <w:pPr>
        <w:spacing w:after="0" w:line="240" w:lineRule="auto"/>
      </w:pPr>
      <w:r>
        <w:separator/>
      </w:r>
    </w:p>
  </w:endnote>
  <w:endnote w:type="continuationSeparator" w:id="0">
    <w:p w14:paraId="49F0849B" w14:textId="77777777" w:rsidR="002B6C5F" w:rsidRDefault="002B6C5F" w:rsidP="00D77908">
      <w:pPr>
        <w:spacing w:after="0" w:line="240" w:lineRule="auto"/>
      </w:pPr>
      <w:r>
        <w:continuationSeparator/>
      </w:r>
    </w:p>
  </w:endnote>
  <w:endnote w:type="continuationNotice" w:id="1">
    <w:p w14:paraId="6EB63CDC" w14:textId="77777777" w:rsidR="002B6C5F" w:rsidRDefault="002B6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F36F" w14:textId="77777777" w:rsidR="002B6C5F" w:rsidRDefault="002B6C5F" w:rsidP="00D77908">
      <w:pPr>
        <w:spacing w:after="0" w:line="240" w:lineRule="auto"/>
      </w:pPr>
      <w:r>
        <w:separator/>
      </w:r>
    </w:p>
  </w:footnote>
  <w:footnote w:type="continuationSeparator" w:id="0">
    <w:p w14:paraId="6BC96C2B" w14:textId="77777777" w:rsidR="002B6C5F" w:rsidRDefault="002B6C5F" w:rsidP="00D77908">
      <w:pPr>
        <w:spacing w:after="0" w:line="240" w:lineRule="auto"/>
      </w:pPr>
      <w:r>
        <w:continuationSeparator/>
      </w:r>
    </w:p>
  </w:footnote>
  <w:footnote w:type="continuationNotice" w:id="1">
    <w:p w14:paraId="3B43A7A9" w14:textId="77777777" w:rsidR="002B6C5F" w:rsidRDefault="002B6C5F">
      <w:pPr>
        <w:spacing w:after="0" w:line="240" w:lineRule="auto"/>
      </w:pPr>
    </w:p>
  </w:footnote>
  <w:footnote w:id="2">
    <w:p w14:paraId="37B17A10" w14:textId="719B76A5" w:rsidR="0036401E" w:rsidRDefault="0036401E">
      <w:pPr>
        <w:pStyle w:val="FootnoteText"/>
      </w:pPr>
      <w:r>
        <w:rPr>
          <w:rStyle w:val="FootnoteReference"/>
        </w:rPr>
        <w:footnoteRef/>
      </w:r>
      <w:r>
        <w:t xml:space="preserve"> </w:t>
      </w:r>
      <w:hyperlink r:id="rId1" w:history="1">
        <w:r>
          <w:rPr>
            <w:rStyle w:val="Hyperlink"/>
          </w:rPr>
          <w:t>633e2df594821063f4aea6bf_General Exemption Order 2022.pdf (webflow.com)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8D1"/>
    <w:multiLevelType w:val="hybridMultilevel"/>
    <w:tmpl w:val="CA8CF236"/>
    <w:lvl w:ilvl="0" w:tplc="81A03C70">
      <w:start w:val="1"/>
      <w:numFmt w:val="decimal"/>
      <w:lvlText w:val="%1."/>
      <w:lvlJc w:val="left"/>
      <w:pPr>
        <w:ind w:left="644"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9B2D37"/>
    <w:multiLevelType w:val="hybridMultilevel"/>
    <w:tmpl w:val="B79A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6897356">
    <w:abstractNumId w:val="0"/>
  </w:num>
  <w:num w:numId="2" w16cid:durableId="1419517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08"/>
    <w:rsid w:val="000149C6"/>
    <w:rsid w:val="00020B07"/>
    <w:rsid w:val="000304CB"/>
    <w:rsid w:val="0003386A"/>
    <w:rsid w:val="000378B7"/>
    <w:rsid w:val="000622FA"/>
    <w:rsid w:val="000677A6"/>
    <w:rsid w:val="000915E0"/>
    <w:rsid w:val="00092679"/>
    <w:rsid w:val="000A1BE1"/>
    <w:rsid w:val="000B2214"/>
    <w:rsid w:val="000B57F8"/>
    <w:rsid w:val="000C1363"/>
    <w:rsid w:val="000C2735"/>
    <w:rsid w:val="000C3FB4"/>
    <w:rsid w:val="000C459C"/>
    <w:rsid w:val="000C70CF"/>
    <w:rsid w:val="000E05B8"/>
    <w:rsid w:val="000F3F34"/>
    <w:rsid w:val="0012189E"/>
    <w:rsid w:val="001326D7"/>
    <w:rsid w:val="00137ED6"/>
    <w:rsid w:val="00147585"/>
    <w:rsid w:val="001605CD"/>
    <w:rsid w:val="00161123"/>
    <w:rsid w:val="001615A7"/>
    <w:rsid w:val="00162F5F"/>
    <w:rsid w:val="00167029"/>
    <w:rsid w:val="001773F2"/>
    <w:rsid w:val="00177C7D"/>
    <w:rsid w:val="00180389"/>
    <w:rsid w:val="00196D24"/>
    <w:rsid w:val="001A0B44"/>
    <w:rsid w:val="001A4A18"/>
    <w:rsid w:val="001B1506"/>
    <w:rsid w:val="001B6084"/>
    <w:rsid w:val="001C503B"/>
    <w:rsid w:val="001D6013"/>
    <w:rsid w:val="001F0B73"/>
    <w:rsid w:val="001F56A6"/>
    <w:rsid w:val="001F5AEF"/>
    <w:rsid w:val="00200CB2"/>
    <w:rsid w:val="00202A75"/>
    <w:rsid w:val="00215F28"/>
    <w:rsid w:val="0023039B"/>
    <w:rsid w:val="00243B07"/>
    <w:rsid w:val="00244386"/>
    <w:rsid w:val="002455C4"/>
    <w:rsid w:val="00252627"/>
    <w:rsid w:val="002613E7"/>
    <w:rsid w:val="00263510"/>
    <w:rsid w:val="002657D6"/>
    <w:rsid w:val="002661FD"/>
    <w:rsid w:val="00285221"/>
    <w:rsid w:val="002866F7"/>
    <w:rsid w:val="00291534"/>
    <w:rsid w:val="00293543"/>
    <w:rsid w:val="002A570C"/>
    <w:rsid w:val="002B6C5F"/>
    <w:rsid w:val="002C02D9"/>
    <w:rsid w:val="002C1524"/>
    <w:rsid w:val="002D074F"/>
    <w:rsid w:val="002E6C64"/>
    <w:rsid w:val="00304EC9"/>
    <w:rsid w:val="00314AB0"/>
    <w:rsid w:val="0031797C"/>
    <w:rsid w:val="00320539"/>
    <w:rsid w:val="00325466"/>
    <w:rsid w:val="00330CDF"/>
    <w:rsid w:val="003336E0"/>
    <w:rsid w:val="00333FD7"/>
    <w:rsid w:val="0034489A"/>
    <w:rsid w:val="0035469C"/>
    <w:rsid w:val="0036401E"/>
    <w:rsid w:val="00367A76"/>
    <w:rsid w:val="003853CC"/>
    <w:rsid w:val="00395B90"/>
    <w:rsid w:val="003A2C93"/>
    <w:rsid w:val="003A4FC0"/>
    <w:rsid w:val="003B182A"/>
    <w:rsid w:val="003B4ED7"/>
    <w:rsid w:val="003B710F"/>
    <w:rsid w:val="003C1091"/>
    <w:rsid w:val="003C7D8C"/>
    <w:rsid w:val="003D09DE"/>
    <w:rsid w:val="003E13BB"/>
    <w:rsid w:val="003F3DC3"/>
    <w:rsid w:val="003F50F8"/>
    <w:rsid w:val="00402ABB"/>
    <w:rsid w:val="00404941"/>
    <w:rsid w:val="00411974"/>
    <w:rsid w:val="00420A90"/>
    <w:rsid w:val="0045059E"/>
    <w:rsid w:val="004778DC"/>
    <w:rsid w:val="004933B1"/>
    <w:rsid w:val="0049724F"/>
    <w:rsid w:val="004A43B1"/>
    <w:rsid w:val="004C1F8C"/>
    <w:rsid w:val="004C7D77"/>
    <w:rsid w:val="004D0C96"/>
    <w:rsid w:val="004D3F5A"/>
    <w:rsid w:val="004D4215"/>
    <w:rsid w:val="004E11A4"/>
    <w:rsid w:val="004E493E"/>
    <w:rsid w:val="004F15F1"/>
    <w:rsid w:val="004F1D2E"/>
    <w:rsid w:val="004F77AE"/>
    <w:rsid w:val="004F78A9"/>
    <w:rsid w:val="005214B9"/>
    <w:rsid w:val="00527B18"/>
    <w:rsid w:val="00545CBC"/>
    <w:rsid w:val="005544BF"/>
    <w:rsid w:val="00562F91"/>
    <w:rsid w:val="00564243"/>
    <w:rsid w:val="005721EF"/>
    <w:rsid w:val="00575DF9"/>
    <w:rsid w:val="005844C4"/>
    <w:rsid w:val="00591D9B"/>
    <w:rsid w:val="005A1983"/>
    <w:rsid w:val="005B4DAA"/>
    <w:rsid w:val="005B4E9C"/>
    <w:rsid w:val="005B6869"/>
    <w:rsid w:val="005C0CDC"/>
    <w:rsid w:val="005C5475"/>
    <w:rsid w:val="005C68AA"/>
    <w:rsid w:val="005D31CD"/>
    <w:rsid w:val="005E465F"/>
    <w:rsid w:val="006009BF"/>
    <w:rsid w:val="00627BF0"/>
    <w:rsid w:val="006310C9"/>
    <w:rsid w:val="00631136"/>
    <w:rsid w:val="00632B51"/>
    <w:rsid w:val="00640BF6"/>
    <w:rsid w:val="0064165B"/>
    <w:rsid w:val="00654F78"/>
    <w:rsid w:val="006610E8"/>
    <w:rsid w:val="00662D53"/>
    <w:rsid w:val="00663893"/>
    <w:rsid w:val="006765BA"/>
    <w:rsid w:val="006A4614"/>
    <w:rsid w:val="006A4887"/>
    <w:rsid w:val="006A7F5B"/>
    <w:rsid w:val="006B389A"/>
    <w:rsid w:val="006C57ED"/>
    <w:rsid w:val="006C7D70"/>
    <w:rsid w:val="006D183B"/>
    <w:rsid w:val="006E1BFA"/>
    <w:rsid w:val="006E1D1B"/>
    <w:rsid w:val="006F2BE2"/>
    <w:rsid w:val="006F502D"/>
    <w:rsid w:val="00706FC0"/>
    <w:rsid w:val="007151C8"/>
    <w:rsid w:val="00724B77"/>
    <w:rsid w:val="00726E11"/>
    <w:rsid w:val="00731E18"/>
    <w:rsid w:val="00734C5C"/>
    <w:rsid w:val="00735A9E"/>
    <w:rsid w:val="007400EA"/>
    <w:rsid w:val="00742007"/>
    <w:rsid w:val="00752DDF"/>
    <w:rsid w:val="00755474"/>
    <w:rsid w:val="00793DA8"/>
    <w:rsid w:val="007B35B3"/>
    <w:rsid w:val="007B4813"/>
    <w:rsid w:val="007C0E2E"/>
    <w:rsid w:val="007E15D6"/>
    <w:rsid w:val="007F47D8"/>
    <w:rsid w:val="00811B6D"/>
    <w:rsid w:val="008140F0"/>
    <w:rsid w:val="0082328A"/>
    <w:rsid w:val="00823CFA"/>
    <w:rsid w:val="00830887"/>
    <w:rsid w:val="00833306"/>
    <w:rsid w:val="00835B84"/>
    <w:rsid w:val="00870F96"/>
    <w:rsid w:val="0087125F"/>
    <w:rsid w:val="00873D5E"/>
    <w:rsid w:val="00897A8C"/>
    <w:rsid w:val="008A066F"/>
    <w:rsid w:val="008A2229"/>
    <w:rsid w:val="008A4055"/>
    <w:rsid w:val="008E13CA"/>
    <w:rsid w:val="008E6DF4"/>
    <w:rsid w:val="008E74E3"/>
    <w:rsid w:val="008E7755"/>
    <w:rsid w:val="008F4A40"/>
    <w:rsid w:val="008F71E6"/>
    <w:rsid w:val="00912560"/>
    <w:rsid w:val="00915356"/>
    <w:rsid w:val="00926217"/>
    <w:rsid w:val="00930819"/>
    <w:rsid w:val="00934FE6"/>
    <w:rsid w:val="00943317"/>
    <w:rsid w:val="00974721"/>
    <w:rsid w:val="00975EAD"/>
    <w:rsid w:val="009809F5"/>
    <w:rsid w:val="00981BFF"/>
    <w:rsid w:val="00992790"/>
    <w:rsid w:val="009A2DC3"/>
    <w:rsid w:val="009A61B5"/>
    <w:rsid w:val="009B2D38"/>
    <w:rsid w:val="009C2F85"/>
    <w:rsid w:val="009C37BB"/>
    <w:rsid w:val="009D6B3A"/>
    <w:rsid w:val="009E0935"/>
    <w:rsid w:val="009E40DC"/>
    <w:rsid w:val="009E6482"/>
    <w:rsid w:val="009E68AA"/>
    <w:rsid w:val="00A001AD"/>
    <w:rsid w:val="00A322DD"/>
    <w:rsid w:val="00A4349C"/>
    <w:rsid w:val="00A85035"/>
    <w:rsid w:val="00AA69DE"/>
    <w:rsid w:val="00AA6BAE"/>
    <w:rsid w:val="00AB0473"/>
    <w:rsid w:val="00AB310A"/>
    <w:rsid w:val="00AB4FBE"/>
    <w:rsid w:val="00AC5F8C"/>
    <w:rsid w:val="00AD3628"/>
    <w:rsid w:val="00AD42C8"/>
    <w:rsid w:val="00AD5C8C"/>
    <w:rsid w:val="00AE4DA9"/>
    <w:rsid w:val="00AE5FE6"/>
    <w:rsid w:val="00B00998"/>
    <w:rsid w:val="00B04E9F"/>
    <w:rsid w:val="00B23A2A"/>
    <w:rsid w:val="00B3519A"/>
    <w:rsid w:val="00B52113"/>
    <w:rsid w:val="00B6008B"/>
    <w:rsid w:val="00B60971"/>
    <w:rsid w:val="00B63022"/>
    <w:rsid w:val="00B876C7"/>
    <w:rsid w:val="00BA2D94"/>
    <w:rsid w:val="00BA7E6A"/>
    <w:rsid w:val="00BB3BB4"/>
    <w:rsid w:val="00BC2E90"/>
    <w:rsid w:val="00BD3B45"/>
    <w:rsid w:val="00BD45BC"/>
    <w:rsid w:val="00BD491C"/>
    <w:rsid w:val="00BE57EB"/>
    <w:rsid w:val="00BF3EA6"/>
    <w:rsid w:val="00C018BC"/>
    <w:rsid w:val="00C213F9"/>
    <w:rsid w:val="00C24665"/>
    <w:rsid w:val="00C2653A"/>
    <w:rsid w:val="00C362D9"/>
    <w:rsid w:val="00C4775E"/>
    <w:rsid w:val="00C521ED"/>
    <w:rsid w:val="00C5402F"/>
    <w:rsid w:val="00C65547"/>
    <w:rsid w:val="00C65BAD"/>
    <w:rsid w:val="00C86179"/>
    <w:rsid w:val="00CA1E1F"/>
    <w:rsid w:val="00CB0441"/>
    <w:rsid w:val="00CB620F"/>
    <w:rsid w:val="00CD4E85"/>
    <w:rsid w:val="00CE2D84"/>
    <w:rsid w:val="00D05F59"/>
    <w:rsid w:val="00D06D5D"/>
    <w:rsid w:val="00D0772E"/>
    <w:rsid w:val="00D1595A"/>
    <w:rsid w:val="00D17352"/>
    <w:rsid w:val="00D2702B"/>
    <w:rsid w:val="00D27DB4"/>
    <w:rsid w:val="00D37CC9"/>
    <w:rsid w:val="00D41040"/>
    <w:rsid w:val="00D44E17"/>
    <w:rsid w:val="00D67FEE"/>
    <w:rsid w:val="00D718B9"/>
    <w:rsid w:val="00D71E02"/>
    <w:rsid w:val="00D77908"/>
    <w:rsid w:val="00D77E44"/>
    <w:rsid w:val="00D83977"/>
    <w:rsid w:val="00D92F62"/>
    <w:rsid w:val="00D944C7"/>
    <w:rsid w:val="00D96A37"/>
    <w:rsid w:val="00DA0076"/>
    <w:rsid w:val="00DB1697"/>
    <w:rsid w:val="00DB48E5"/>
    <w:rsid w:val="00DD3276"/>
    <w:rsid w:val="00DE7F25"/>
    <w:rsid w:val="00E032B8"/>
    <w:rsid w:val="00E03537"/>
    <w:rsid w:val="00E0755A"/>
    <w:rsid w:val="00E12F2C"/>
    <w:rsid w:val="00E211A6"/>
    <w:rsid w:val="00E24769"/>
    <w:rsid w:val="00E4346D"/>
    <w:rsid w:val="00E44989"/>
    <w:rsid w:val="00E45F1E"/>
    <w:rsid w:val="00E52865"/>
    <w:rsid w:val="00E54A79"/>
    <w:rsid w:val="00E67BD4"/>
    <w:rsid w:val="00E837A2"/>
    <w:rsid w:val="00E868CE"/>
    <w:rsid w:val="00EB0D49"/>
    <w:rsid w:val="00EE4393"/>
    <w:rsid w:val="00EE66B4"/>
    <w:rsid w:val="00F025D5"/>
    <w:rsid w:val="00F15476"/>
    <w:rsid w:val="00F22A35"/>
    <w:rsid w:val="00F33D69"/>
    <w:rsid w:val="00F34903"/>
    <w:rsid w:val="00F40D76"/>
    <w:rsid w:val="00F4577A"/>
    <w:rsid w:val="00F477C1"/>
    <w:rsid w:val="00F50993"/>
    <w:rsid w:val="00F7224B"/>
    <w:rsid w:val="00F72D7D"/>
    <w:rsid w:val="00F86C75"/>
    <w:rsid w:val="00F9561A"/>
    <w:rsid w:val="00FB18AC"/>
    <w:rsid w:val="00FB18C3"/>
    <w:rsid w:val="00FD5D1B"/>
    <w:rsid w:val="00FF0DC2"/>
    <w:rsid w:val="1EEE4D7E"/>
    <w:rsid w:val="40AD17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5069"/>
  <w15:chartTrackingRefBased/>
  <w15:docId w15:val="{85289AA0-4EAE-46EE-A407-FDAA4CA6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908"/>
  </w:style>
  <w:style w:type="paragraph" w:styleId="Heading1">
    <w:name w:val="heading 1"/>
    <w:basedOn w:val="Normal"/>
    <w:next w:val="Normal"/>
    <w:link w:val="Heading1Char"/>
    <w:uiPriority w:val="9"/>
    <w:qFormat/>
    <w:rsid w:val="00395B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5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908"/>
    <w:rPr>
      <w:color w:val="0563C1" w:themeColor="hyperlink"/>
      <w:u w:val="single"/>
    </w:rPr>
  </w:style>
  <w:style w:type="paragraph" w:customStyle="1" w:styleId="Default">
    <w:name w:val="Default"/>
    <w:rsid w:val="00D77908"/>
    <w:pPr>
      <w:autoSpaceDE w:val="0"/>
      <w:autoSpaceDN w:val="0"/>
      <w:adjustRightInd w:val="0"/>
      <w:spacing w:after="0" w:line="240" w:lineRule="auto"/>
    </w:pPr>
    <w:rPr>
      <w:rFonts w:ascii="Arial" w:hAnsi="Arial" w:cs="Arial"/>
      <w:color w:val="000000"/>
      <w:kern w:val="0"/>
      <w:sz w:val="24"/>
      <w:szCs w:val="24"/>
    </w:rPr>
  </w:style>
  <w:style w:type="paragraph" w:styleId="FootnoteText">
    <w:name w:val="footnote text"/>
    <w:basedOn w:val="Normal"/>
    <w:link w:val="FootnoteTextChar"/>
    <w:uiPriority w:val="99"/>
    <w:semiHidden/>
    <w:unhideWhenUsed/>
    <w:rsid w:val="00D779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908"/>
    <w:rPr>
      <w:sz w:val="20"/>
      <w:szCs w:val="20"/>
    </w:rPr>
  </w:style>
  <w:style w:type="character" w:styleId="FootnoteReference">
    <w:name w:val="footnote reference"/>
    <w:basedOn w:val="DefaultParagraphFont"/>
    <w:uiPriority w:val="99"/>
    <w:semiHidden/>
    <w:unhideWhenUsed/>
    <w:rsid w:val="00D77908"/>
    <w:rPr>
      <w:vertAlign w:val="superscript"/>
    </w:rPr>
  </w:style>
  <w:style w:type="character" w:customStyle="1" w:styleId="Heading2Char">
    <w:name w:val="Heading 2 Char"/>
    <w:basedOn w:val="DefaultParagraphFont"/>
    <w:link w:val="Heading2"/>
    <w:uiPriority w:val="9"/>
    <w:rsid w:val="00395B9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95B9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3386A"/>
    <w:rPr>
      <w:color w:val="605E5C"/>
      <w:shd w:val="clear" w:color="auto" w:fill="E1DFDD"/>
    </w:r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0C459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459C"/>
  </w:style>
  <w:style w:type="paragraph" w:styleId="Footer">
    <w:name w:val="footer"/>
    <w:basedOn w:val="Normal"/>
    <w:link w:val="FooterChar"/>
    <w:uiPriority w:val="99"/>
    <w:semiHidden/>
    <w:unhideWhenUsed/>
    <w:rsid w:val="000C459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C459C"/>
  </w:style>
  <w:style w:type="character" w:styleId="FollowedHyperlink">
    <w:name w:val="FollowedHyperlink"/>
    <w:basedOn w:val="DefaultParagraphFont"/>
    <w:uiPriority w:val="99"/>
    <w:semiHidden/>
    <w:unhideWhenUsed/>
    <w:rsid w:val="00F22A35"/>
    <w:rPr>
      <w:color w:val="954F72" w:themeColor="followedHyperlink"/>
      <w:u w:val="single"/>
    </w:rPr>
  </w:style>
  <w:style w:type="paragraph" w:styleId="ListParagraph">
    <w:name w:val="List Paragraph"/>
    <w:basedOn w:val="Normal"/>
    <w:uiPriority w:val="34"/>
    <w:qFormat/>
    <w:rsid w:val="00BC2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7674">
      <w:bodyDiv w:val="1"/>
      <w:marLeft w:val="0"/>
      <w:marRight w:val="0"/>
      <w:marTop w:val="0"/>
      <w:marBottom w:val="0"/>
      <w:divBdr>
        <w:top w:val="none" w:sz="0" w:space="0" w:color="auto"/>
        <w:left w:val="none" w:sz="0" w:space="0" w:color="auto"/>
        <w:bottom w:val="none" w:sz="0" w:space="0" w:color="auto"/>
        <w:right w:val="none" w:sz="0" w:space="0" w:color="auto"/>
      </w:divBdr>
    </w:div>
    <w:div w:id="10617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ctricvehiclecouncil.com.au/submissions/evc-response-to-the-aer-on-review-of-consumer-protections-for-future-energy-services-options-for-reform-of-the-national-energy-customer-framework/"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er.gov.au/system/files/2023-12/AER%20-%20Review%20of%20consumer%20protections%20for%20future%20energy%20services%20-%20Final%20advice%20-%20November%20202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r.gov.au/system/files/AER%20electricity%20NSP%20Registration%20Exemption%20Guideline%20-%20Version%206%20-%201%20March%202018.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ectricvehiclecouncil.com.au/submissions/evc-response-to-delwp-protecting-consumers-of-der/" TargetMode="External"/><Relationship Id="rId4" Type="http://schemas.openxmlformats.org/officeDocument/2006/relationships/webSettings" Target="webSettings.xml"/><Relationship Id="rId9" Type="http://schemas.openxmlformats.org/officeDocument/2006/relationships/hyperlink" Target="https://electricvehiclecouncil.com.au/submissions/evc-response-to-aer-retailerauthorisation-and-exemption-reviewissues-paper/" TargetMode="External"/><Relationship Id="rId14" Type="http://schemas.openxmlformats.org/officeDocument/2006/relationships/hyperlink" Target="mailto:umair@evc.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ploads-ssl.webflow.com/605acb1370e57a5b2d496e31/633e2df594821063f4aea6bf_General%20Exemption%20Order%2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Links>
    <vt:vector size="42" baseType="variant">
      <vt:variant>
        <vt:i4>7012362</vt:i4>
      </vt:variant>
      <vt:variant>
        <vt:i4>15</vt:i4>
      </vt:variant>
      <vt:variant>
        <vt:i4>0</vt:i4>
      </vt:variant>
      <vt:variant>
        <vt:i4>5</vt:i4>
      </vt:variant>
      <vt:variant>
        <vt:lpwstr>mailto:umair@evc.org.au</vt:lpwstr>
      </vt:variant>
      <vt:variant>
        <vt:lpwstr/>
      </vt:variant>
      <vt:variant>
        <vt:i4>3538980</vt:i4>
      </vt:variant>
      <vt:variant>
        <vt:i4>12</vt:i4>
      </vt:variant>
      <vt:variant>
        <vt:i4>0</vt:i4>
      </vt:variant>
      <vt:variant>
        <vt:i4>5</vt:i4>
      </vt:variant>
      <vt:variant>
        <vt:lpwstr>https://www.aer.gov.au/system/files/AER electricity NSP Registration Exemption Guideline - Version 6 - 1 March 2018.pdf</vt:lpwstr>
      </vt:variant>
      <vt:variant>
        <vt:lpwstr/>
      </vt:variant>
      <vt:variant>
        <vt:i4>5963794</vt:i4>
      </vt:variant>
      <vt:variant>
        <vt:i4>9</vt:i4>
      </vt:variant>
      <vt:variant>
        <vt:i4>0</vt:i4>
      </vt:variant>
      <vt:variant>
        <vt:i4>5</vt:i4>
      </vt:variant>
      <vt:variant>
        <vt:lpwstr>https://electricvehiclecouncil.com.au/submissions/evc-response-to-delwp-protecting-consumers-of-der/</vt:lpwstr>
      </vt:variant>
      <vt:variant>
        <vt:lpwstr/>
      </vt:variant>
      <vt:variant>
        <vt:i4>852048</vt:i4>
      </vt:variant>
      <vt:variant>
        <vt:i4>6</vt:i4>
      </vt:variant>
      <vt:variant>
        <vt:i4>0</vt:i4>
      </vt:variant>
      <vt:variant>
        <vt:i4>5</vt:i4>
      </vt:variant>
      <vt:variant>
        <vt:lpwstr>https://electricvehiclecouncil.com.au/submissions/evc-response-to-aer-retailerauthorisation-and-exemption-reviewissues-paper/</vt:lpwstr>
      </vt:variant>
      <vt:variant>
        <vt:lpwstr/>
      </vt:variant>
      <vt:variant>
        <vt:i4>4194381</vt:i4>
      </vt:variant>
      <vt:variant>
        <vt:i4>3</vt:i4>
      </vt:variant>
      <vt:variant>
        <vt:i4>0</vt:i4>
      </vt:variant>
      <vt:variant>
        <vt:i4>5</vt:i4>
      </vt:variant>
      <vt:variant>
        <vt:lpwstr>https://electricvehiclecouncil.com.au/submissions/evc-response-to-the-aer-on-review-of-consumer-protections-for-future-energy-services-options-for-reform-of-the-national-energy-customer-framework/</vt:lpwstr>
      </vt:variant>
      <vt:variant>
        <vt:lpwstr/>
      </vt:variant>
      <vt:variant>
        <vt:i4>4456520</vt:i4>
      </vt:variant>
      <vt:variant>
        <vt:i4>0</vt:i4>
      </vt:variant>
      <vt:variant>
        <vt:i4>0</vt:i4>
      </vt:variant>
      <vt:variant>
        <vt:i4>5</vt:i4>
      </vt:variant>
      <vt:variant>
        <vt:lpwstr>https://www.aer.gov.au/industry/registers/resources/reviews/review-aer-exemptions-framework-embedded-networks</vt:lpwstr>
      </vt:variant>
      <vt:variant>
        <vt:lpwstr/>
      </vt:variant>
      <vt:variant>
        <vt:i4>5701673</vt:i4>
      </vt:variant>
      <vt:variant>
        <vt:i4>0</vt:i4>
      </vt:variant>
      <vt:variant>
        <vt:i4>0</vt:i4>
      </vt:variant>
      <vt:variant>
        <vt:i4>5</vt:i4>
      </vt:variant>
      <vt:variant>
        <vt:lpwstr>https://uploads-ssl.webflow.com/605acb1370e57a5b2d496e31/633e2df594821063f4aea6bf_General Exemption Order 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Shaughnessy</dc:creator>
  <cp:keywords/>
  <dc:description/>
  <cp:lastModifiedBy>Umair Afzal</cp:lastModifiedBy>
  <cp:revision>3</cp:revision>
  <dcterms:created xsi:type="dcterms:W3CDTF">2024-02-04T23:26:00Z</dcterms:created>
  <dcterms:modified xsi:type="dcterms:W3CDTF">2024-02-04T23:33:00Z</dcterms:modified>
</cp:coreProperties>
</file>